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BF" w:rsidRPr="006063DB" w:rsidRDefault="00EB5CBF" w:rsidP="00EB5CBF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F6346F1" wp14:editId="4EA58D53">
            <wp:extent cx="487492" cy="782320"/>
            <wp:effectExtent l="0" t="0" r="8255" b="0"/>
            <wp:docPr id="2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CBF" w:rsidRPr="006063DB" w:rsidRDefault="00EB5CBF" w:rsidP="00EB5CBF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</w:p>
    <w:p w:rsidR="00EB5CBF" w:rsidRPr="006063DB" w:rsidRDefault="00EB5CBF" w:rsidP="00EB5CBF">
      <w:pPr>
        <w:spacing w:after="0" w:line="276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proofErr w:type="spellStart"/>
      <w:r w:rsidRPr="006063DB">
        <w:rPr>
          <w:rFonts w:ascii="TH SarabunPSK" w:eastAsia="TH Sarabun PSK" w:hAnsi="TH SarabunPSK" w:cs="TH SarabunPSK"/>
          <w:b/>
          <w:bCs/>
          <w:sz w:val="32"/>
          <w:szCs w:val="32"/>
        </w:rPr>
        <w:t>Dr</w:t>
      </w:r>
      <w:proofErr w:type="spellEnd"/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Wu </w:t>
      </w:r>
      <w:proofErr w:type="spellStart"/>
      <w:r w:rsidRPr="006063DB">
        <w:rPr>
          <w:rFonts w:ascii="TH SarabunPSK" w:eastAsia="TH Sarabun PSK" w:hAnsi="TH SarabunPSK" w:cs="TH SarabunPSK"/>
          <w:b/>
          <w:bCs/>
          <w:sz w:val="32"/>
          <w:szCs w:val="32"/>
        </w:rPr>
        <w:t>Tianyi</w:t>
      </w:r>
      <w:proofErr w:type="spellEnd"/>
    </w:p>
    <w:p w:rsidR="00EB5CBF" w:rsidRPr="006063DB" w:rsidRDefault="00EB5CBF" w:rsidP="00EB5CBF">
      <w:pPr>
        <w:spacing w:after="0" w:line="276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8"/>
        <w:gridCol w:w="1020"/>
        <w:gridCol w:w="2596"/>
      </w:tblGrid>
      <w:tr w:rsidR="00EB5CBF" w:rsidRPr="006063DB" w:rsidTr="006712EC">
        <w:tc>
          <w:tcPr>
            <w:tcW w:w="3040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Theme="minorHAnsi" w:hAnsi="TH SarabunPSK" w:cs="TH SarabunPSK"/>
                <w:sz w:val="32"/>
                <w:szCs w:val="32"/>
              </w:rPr>
              <w:t>Walailak University</w:t>
            </w:r>
          </w:p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6063DB">
              <w:rPr>
                <w:rFonts w:ascii="TH SarabunPSK" w:eastAsiaTheme="minorHAnsi" w:hAnsi="TH SarabunPSK" w:cs="TH SarabunPSK"/>
                <w:sz w:val="32"/>
                <w:szCs w:val="32"/>
              </w:rPr>
              <w:t>School of</w:t>
            </w: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 xml:space="preserve"> Liberal Art</w:t>
            </w:r>
          </w:p>
          <w:p w:rsidR="00EB5CBF" w:rsidRPr="00E73CE1" w:rsidRDefault="00EB5CBF" w:rsidP="006712EC">
            <w:pPr>
              <w:spacing w:line="276" w:lineRule="auto"/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</w:pPr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  <w:cs/>
              </w:rPr>
              <w:t>222</w:t>
            </w:r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 xml:space="preserve"> Thai </w:t>
            </w:r>
            <w:proofErr w:type="spellStart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>Buri</w:t>
            </w:r>
            <w:proofErr w:type="spellEnd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 xml:space="preserve">, </w:t>
            </w:r>
            <w:proofErr w:type="spellStart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>Tha</w:t>
            </w:r>
            <w:proofErr w:type="spellEnd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 xml:space="preserve"> Sala District,</w:t>
            </w:r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proofErr w:type="spellStart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>Nakhon</w:t>
            </w:r>
            <w:proofErr w:type="spellEnd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 xml:space="preserve"> Si </w:t>
            </w:r>
            <w:proofErr w:type="spellStart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>Thammarat</w:t>
            </w:r>
            <w:proofErr w:type="spellEnd"/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E73CE1">
              <w:rPr>
                <w:rFonts w:ascii="TH SarabunPSK" w:eastAsiaTheme="minorHAnsi" w:hAnsi="TH SarabunPSK" w:cs="TH SarabunPSK"/>
                <w:spacing w:val="-10"/>
                <w:sz w:val="32"/>
                <w:szCs w:val="32"/>
                <w:cs/>
              </w:rPr>
              <w:t>80161</w:t>
            </w:r>
          </w:p>
        </w:tc>
        <w:tc>
          <w:tcPr>
            <w:tcW w:w="553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="00EB5CBF" w:rsidRPr="006063DB" w:rsidRDefault="00EB5CBF" w:rsidP="006712EC">
            <w:pPr>
              <w:spacing w:line="276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6063DB">
              <w:rPr>
                <w:rFonts w:ascii="TH SarabunPSK" w:eastAsiaTheme="minorHAnsi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407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096</w:t>
            </w: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216</w:t>
            </w: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8080</w:t>
            </w:r>
          </w:p>
          <w:p w:rsidR="00EB5CBF" w:rsidRPr="006063DB" w:rsidRDefault="00EB5CBF" w:rsidP="006712EC">
            <w:pPr>
              <w:spacing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-</w:t>
            </w:r>
          </w:p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32"/>
                <w:szCs w:val="32"/>
                <w:lang w:val="en-PH" w:eastAsia="zh-CN"/>
              </w:rPr>
            </w:pPr>
            <w:proofErr w:type="spellStart"/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val="en-PH" w:eastAsia="zh-CN"/>
              </w:rPr>
              <w:t>tianyi</w:t>
            </w:r>
            <w:proofErr w:type="spellEnd"/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cs/>
                <w:lang w:val="en-PH" w:eastAsia="zh-CN"/>
              </w:rPr>
              <w:t>.</w:t>
            </w:r>
            <w:proofErr w:type="spellStart"/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val="en-PH" w:eastAsia="zh-CN"/>
              </w:rPr>
              <w:t>wu@mail</w:t>
            </w:r>
            <w:proofErr w:type="spellEnd"/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cs/>
                <w:lang w:val="en-PH" w:eastAsia="zh-CN"/>
              </w:rPr>
              <w:t>.</w:t>
            </w:r>
            <w:proofErr w:type="spellStart"/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val="en-PH" w:eastAsia="zh-CN"/>
              </w:rPr>
              <w:t>wu</w:t>
            </w:r>
            <w:proofErr w:type="spellEnd"/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cs/>
                <w:lang w:val="en-PH" w:eastAsia="zh-CN"/>
              </w:rPr>
              <w:t>.</w:t>
            </w: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val="en-PH" w:eastAsia="zh-CN"/>
              </w:rPr>
              <w:t>ac</w:t>
            </w:r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cs/>
                <w:lang w:val="en-PH" w:eastAsia="zh-CN"/>
              </w:rPr>
              <w:t>.</w:t>
            </w:r>
            <w:proofErr w:type="spellStart"/>
            <w:r w:rsidRPr="006063DB">
              <w:rPr>
                <w:rFonts w:ascii="TH SarabunPSK" w:eastAsiaTheme="minorEastAsia" w:hAnsi="TH SarabunPSK" w:cs="TH SarabunPSK"/>
                <w:sz w:val="32"/>
                <w:szCs w:val="32"/>
                <w:lang w:val="en-PH" w:eastAsia="zh-CN"/>
              </w:rPr>
              <w:t>th</w:t>
            </w:r>
            <w:proofErr w:type="spellEnd"/>
          </w:p>
        </w:tc>
      </w:tr>
    </w:tbl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color w:val="FF0000"/>
          <w:sz w:val="32"/>
          <w:szCs w:val="32"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1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Educational Background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4"/>
        <w:gridCol w:w="3503"/>
        <w:gridCol w:w="3398"/>
        <w:gridCol w:w="1209"/>
      </w:tblGrid>
      <w:tr w:rsidR="00EB5CBF" w:rsidRPr="006063DB" w:rsidTr="006712EC">
        <w:tc>
          <w:tcPr>
            <w:tcW w:w="599" w:type="pct"/>
            <w:shd w:val="clear" w:color="auto" w:fill="D9D9D9" w:themeFill="background1" w:themeFillShade="D9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901" w:type="pct"/>
            <w:shd w:val="clear" w:color="auto" w:fill="D9D9D9" w:themeFill="background1" w:themeFillShade="D9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Field of Study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844" w:type="pct"/>
            <w:shd w:val="clear" w:color="auto" w:fill="D9D9D9" w:themeFill="background1" w:themeFillShade="D9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nstitution</w:t>
            </w:r>
          </w:p>
        </w:tc>
        <w:tc>
          <w:tcPr>
            <w:tcW w:w="656" w:type="pct"/>
            <w:shd w:val="clear" w:color="auto" w:fill="D9D9D9" w:themeFill="background1" w:themeFillShade="D9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EB5CBF" w:rsidRPr="006063DB" w:rsidTr="006712EC">
        <w:tc>
          <w:tcPr>
            <w:tcW w:w="599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proofErr w:type="spellStart"/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Ph</w:t>
            </w:r>
            <w:proofErr w:type="spellEnd"/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D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.</w:t>
            </w:r>
          </w:p>
        </w:tc>
        <w:tc>
          <w:tcPr>
            <w:tcW w:w="1901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Humanity</w:t>
            </w:r>
          </w:p>
        </w:tc>
        <w:tc>
          <w:tcPr>
            <w:tcW w:w="1844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bCs/>
                <w:sz w:val="28"/>
                <w:szCs w:val="28"/>
                <w:lang w:val="en-PH"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Hiroshima University, Japan</w:t>
            </w:r>
          </w:p>
        </w:tc>
        <w:tc>
          <w:tcPr>
            <w:tcW w:w="656" w:type="pct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2017</w:t>
            </w:r>
          </w:p>
        </w:tc>
      </w:tr>
      <w:tr w:rsidR="00EB5CBF" w:rsidRPr="006063DB" w:rsidTr="006712EC">
        <w:tc>
          <w:tcPr>
            <w:tcW w:w="599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M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A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.</w:t>
            </w:r>
          </w:p>
        </w:tc>
        <w:tc>
          <w:tcPr>
            <w:tcW w:w="1901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Humanity</w:t>
            </w:r>
          </w:p>
        </w:tc>
        <w:tc>
          <w:tcPr>
            <w:tcW w:w="1844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bCs/>
                <w:sz w:val="28"/>
                <w:szCs w:val="28"/>
                <w:lang w:val="en-PH"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Hiroshima University, Japan</w:t>
            </w:r>
          </w:p>
        </w:tc>
        <w:tc>
          <w:tcPr>
            <w:tcW w:w="656" w:type="pct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2014</w:t>
            </w:r>
          </w:p>
        </w:tc>
      </w:tr>
      <w:tr w:rsidR="00EB5CBF" w:rsidRPr="006063DB" w:rsidTr="006712EC">
        <w:tc>
          <w:tcPr>
            <w:tcW w:w="599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B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A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.</w:t>
            </w:r>
          </w:p>
        </w:tc>
        <w:tc>
          <w:tcPr>
            <w:tcW w:w="1901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Japanese Language and Literature</w:t>
            </w:r>
          </w:p>
        </w:tc>
        <w:tc>
          <w:tcPr>
            <w:tcW w:w="1844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bCs/>
                <w:sz w:val="28"/>
                <w:szCs w:val="28"/>
                <w:lang w:val="en-PH" w:eastAsia="zh-CN"/>
              </w:rPr>
            </w:pPr>
            <w:r w:rsidRPr="006063DB">
              <w:rPr>
                <w:rFonts w:ascii="TH SarabunPSK" w:eastAsiaTheme="minorEastAsia" w:hAnsi="TH SarabunPSK" w:cs="TH SarabunPSK"/>
                <w:bCs/>
                <w:sz w:val="28"/>
                <w:szCs w:val="28"/>
                <w:lang w:val="en-PH" w:eastAsia="zh-CN"/>
              </w:rPr>
              <w:t>Yangtze Normal University</w:t>
            </w:r>
          </w:p>
        </w:tc>
        <w:tc>
          <w:tcPr>
            <w:tcW w:w="656" w:type="pct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2011</w:t>
            </w:r>
          </w:p>
        </w:tc>
      </w:tr>
    </w:tbl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Working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55"/>
        <w:gridCol w:w="4649"/>
        <w:gridCol w:w="1710"/>
      </w:tblGrid>
      <w:tr w:rsidR="00EB5CBF" w:rsidRPr="006063DB" w:rsidTr="006712EC">
        <w:trPr>
          <w:tblHeader/>
        </w:trPr>
        <w:tc>
          <w:tcPr>
            <w:tcW w:w="1549" w:type="pct"/>
            <w:shd w:val="clear" w:color="auto" w:fill="D9D9D9" w:themeFill="background1" w:themeFillShade="D9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523" w:type="pct"/>
            <w:shd w:val="clear" w:color="auto" w:fill="D9D9D9" w:themeFill="background1" w:themeFillShade="D9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Workplace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EB5CBF" w:rsidRPr="006063DB" w:rsidTr="006712EC">
        <w:tc>
          <w:tcPr>
            <w:tcW w:w="1549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Lecturer</w:t>
            </w:r>
          </w:p>
        </w:tc>
        <w:tc>
          <w:tcPr>
            <w:tcW w:w="2523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School of Liberal Arts, Walailak University</w:t>
            </w:r>
          </w:p>
        </w:tc>
        <w:tc>
          <w:tcPr>
            <w:tcW w:w="928" w:type="pct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 xml:space="preserve">2025 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 xml:space="preserve">– 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present</w:t>
            </w:r>
          </w:p>
        </w:tc>
      </w:tr>
      <w:tr w:rsidR="00EB5CBF" w:rsidRPr="006063DB" w:rsidTr="006712EC">
        <w:tc>
          <w:tcPr>
            <w:tcW w:w="1549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Lecturer</w:t>
            </w:r>
          </w:p>
        </w:tc>
        <w:tc>
          <w:tcPr>
            <w:tcW w:w="2523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MBA program, Walailak University International College, Walailak University</w:t>
            </w:r>
          </w:p>
        </w:tc>
        <w:tc>
          <w:tcPr>
            <w:tcW w:w="928" w:type="pct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2024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2025</w:t>
            </w:r>
          </w:p>
        </w:tc>
      </w:tr>
      <w:tr w:rsidR="00EB5CBF" w:rsidRPr="006063DB" w:rsidTr="006712EC">
        <w:tc>
          <w:tcPr>
            <w:tcW w:w="1549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Research Fellow and Lecturer</w:t>
            </w:r>
          </w:p>
        </w:tc>
        <w:tc>
          <w:tcPr>
            <w:tcW w:w="2523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Academy of Global Governance and Area Studies, Sichuan Normal University</w:t>
            </w:r>
          </w:p>
        </w:tc>
        <w:tc>
          <w:tcPr>
            <w:tcW w:w="928" w:type="pct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2021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2024</w:t>
            </w:r>
          </w:p>
        </w:tc>
      </w:tr>
      <w:tr w:rsidR="00EB5CBF" w:rsidRPr="006063DB" w:rsidTr="006712EC">
        <w:tc>
          <w:tcPr>
            <w:tcW w:w="1549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Lecturer</w:t>
            </w:r>
          </w:p>
        </w:tc>
        <w:tc>
          <w:tcPr>
            <w:tcW w:w="2523" w:type="pct"/>
          </w:tcPr>
          <w:p w:rsidR="00EB5CBF" w:rsidRPr="006063DB" w:rsidRDefault="00EB5CBF" w:rsidP="006712E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Japanese Department, School of Foreign Language, Sichuan Tourism University</w:t>
            </w:r>
          </w:p>
        </w:tc>
        <w:tc>
          <w:tcPr>
            <w:tcW w:w="928" w:type="pct"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2018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2021</w:t>
            </w:r>
          </w:p>
        </w:tc>
      </w:tr>
    </w:tbl>
    <w:p w:rsidR="00EB5CBF" w:rsidRPr="006063DB" w:rsidRDefault="00EB5CBF" w:rsidP="00EB5CBF">
      <w:pPr>
        <w:spacing w:after="0" w:line="276" w:lineRule="auto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</w:p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Expertise</w:t>
      </w:r>
    </w:p>
    <w:p w:rsidR="00EB5CBF" w:rsidRPr="006063DB" w:rsidRDefault="00EB5CBF" w:rsidP="00EB5CBF">
      <w:pPr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 xml:space="preserve">Intercultural Communication </w:t>
      </w:r>
    </w:p>
    <w:p w:rsidR="00EB5CBF" w:rsidRPr="006063DB" w:rsidRDefault="00EB5CBF" w:rsidP="00EB5CBF">
      <w:pPr>
        <w:spacing w:after="0" w:line="276" w:lineRule="auto"/>
        <w:ind w:left="36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2)</w:t>
      </w:r>
      <w:r w:rsidRPr="006063DB">
        <w:rPr>
          <w:rFonts w:ascii="TH SarabunPSK" w:hAnsi="TH SarabunPSK" w:cs="TH SarabunPSK"/>
          <w:sz w:val="32"/>
          <w:szCs w:val="32"/>
        </w:rPr>
        <w:tab/>
        <w:t>Comparative Culture</w:t>
      </w:r>
    </w:p>
    <w:p w:rsidR="00EB5CBF" w:rsidRPr="006063DB" w:rsidRDefault="00EB5CBF" w:rsidP="00EB5CBF">
      <w:pPr>
        <w:spacing w:after="0" w:line="276" w:lineRule="auto"/>
        <w:ind w:left="36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6063DB">
        <w:rPr>
          <w:rFonts w:ascii="TH SarabunPSK" w:eastAsiaTheme="minorEastAsia" w:hAnsi="TH SarabunPSK" w:cs="TH SarabunPSK"/>
          <w:sz w:val="32"/>
          <w:szCs w:val="32"/>
          <w:lang w:eastAsia="zh-CN"/>
        </w:rPr>
        <w:t>3</w:t>
      </w:r>
      <w:r w:rsidRPr="006063DB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>)</w:t>
      </w:r>
      <w:r w:rsidRPr="006063DB"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 w:rsidRPr="006063DB">
        <w:rPr>
          <w:rFonts w:ascii="TH SarabunPSK" w:hAnsi="TH SarabunPSK" w:cs="TH SarabunPSK"/>
          <w:sz w:val="32"/>
          <w:szCs w:val="32"/>
        </w:rPr>
        <w:t>Linguistic Education</w:t>
      </w:r>
    </w:p>
    <w:p w:rsidR="00EB5CBF" w:rsidRPr="006063DB" w:rsidRDefault="00EB5CBF" w:rsidP="00EB5CBF">
      <w:pPr>
        <w:spacing w:after="0" w:line="276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Pr="006063DB">
        <w:rPr>
          <w:rFonts w:ascii="TH SarabunPSK" w:hAnsi="TH SarabunPSK" w:cs="TH SarabunPSK"/>
          <w:sz w:val="32"/>
          <w:szCs w:val="32"/>
          <w:cs/>
        </w:rPr>
        <w:t>)</w:t>
      </w:r>
      <w:r w:rsidRPr="006063DB">
        <w:rPr>
          <w:rFonts w:ascii="TH SarabunPSK" w:hAnsi="TH SarabunPSK" w:cs="TH SarabunPSK"/>
          <w:sz w:val="32"/>
          <w:szCs w:val="32"/>
        </w:rPr>
        <w:tab/>
        <w:t>Area Study</w:t>
      </w:r>
    </w:p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B63C1" w:rsidRDefault="002B63C1">
      <w:pPr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br w:type="page"/>
      </w:r>
    </w:p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4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Teaching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6"/>
        <w:gridCol w:w="2477"/>
        <w:gridCol w:w="1257"/>
        <w:gridCol w:w="2316"/>
        <w:gridCol w:w="1108"/>
      </w:tblGrid>
      <w:tr w:rsidR="00EB5CBF" w:rsidRPr="006063DB" w:rsidTr="006712EC">
        <w:trPr>
          <w:tblHeader/>
        </w:trPr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  <w:t>Name of Educational Institution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  <w:t>Faculty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  <w:t>School</w:t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left="74" w:right="70"/>
              <w:jc w:val="center"/>
              <w:rPr>
                <w:rFonts w:ascii="TH SarabunPSK" w:eastAsiaTheme="minorHAnsi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HAnsi" w:hAnsi="TH SarabunPSK" w:cs="TH SarabunPSK"/>
                <w:b/>
                <w:bCs/>
                <w:sz w:val="24"/>
                <w:szCs w:val="24"/>
              </w:rPr>
            </w:pPr>
            <w:r w:rsidRPr="006063DB"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  <w:t>Year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Walailak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International College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BBA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Strategy of International Business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2024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Walailak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International College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BBA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Soft Power Management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2024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Walailak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International College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BBA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Digital Consumer Behavior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2024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Walailak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International College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BBA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Project Management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2024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Walailak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International College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BBA Program</w:t>
            </w:r>
          </w:p>
        </w:tc>
        <w:tc>
          <w:tcPr>
            <w:tcW w:w="1257" w:type="pct"/>
          </w:tcPr>
          <w:p w:rsidR="00EB5CBF" w:rsidRPr="0070750F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pacing w:val="-2"/>
                <w:sz w:val="24"/>
                <w:szCs w:val="24"/>
                <w:lang w:eastAsia="zh-CN"/>
              </w:rPr>
            </w:pPr>
            <w:r w:rsidRPr="0070750F">
              <w:rPr>
                <w:rFonts w:ascii="TH SarabunPSK" w:eastAsia="TH SarabunPSK" w:hAnsi="TH SarabunPSK" w:cs="TH SarabunPSK"/>
                <w:spacing w:val="-2"/>
                <w:sz w:val="24"/>
                <w:szCs w:val="24"/>
              </w:rPr>
              <w:t>Intercultural Communication in Management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2024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Normal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Academy of Global Governance and Area Studies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Master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G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reat 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P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ower 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D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iplomacy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2021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2024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Japanese as Second Foreign Language 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2021</w:t>
            </w:r>
          </w:p>
        </w:tc>
        <w:bookmarkStart w:id="0" w:name="_GoBack"/>
        <w:bookmarkEnd w:id="0"/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Academic Japanese Writing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Japanese Speech and Debate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2020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The Politics, History and Society of Japan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Japanese Conversation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Japanese Reading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</w:pP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eastAsia="TH SarabunPSK" w:hAnsi="TH SarabunPSK" w:cs="TH SarabunPSK"/>
                <w:sz w:val="24"/>
                <w:szCs w:val="24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Basic Japanese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2018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Listening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2018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JLPT Grammar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2018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2021</w:t>
            </w:r>
          </w:p>
        </w:tc>
      </w:tr>
      <w:tr w:rsidR="00EB5CBF" w:rsidRPr="006063DB" w:rsidTr="006712EC">
        <w:tc>
          <w:tcPr>
            <w:tcW w:w="1116" w:type="pct"/>
          </w:tcPr>
          <w:p w:rsidR="00EB5CBF" w:rsidRPr="006063DB" w:rsidRDefault="00EB5CBF" w:rsidP="006712EC">
            <w:pPr>
              <w:spacing w:line="276" w:lineRule="auto"/>
              <w:ind w:left="66"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Sichuan Tourism University</w:t>
            </w:r>
          </w:p>
        </w:tc>
        <w:tc>
          <w:tcPr>
            <w:tcW w:w="1344" w:type="pct"/>
          </w:tcPr>
          <w:p w:rsidR="00EB5CBF" w:rsidRPr="006063DB" w:rsidRDefault="00EB5CBF" w:rsidP="006712EC">
            <w:pPr>
              <w:spacing w:line="276" w:lineRule="auto"/>
              <w:ind w:right="7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Japanese Department, School of Foreign Language</w:t>
            </w:r>
          </w:p>
        </w:tc>
        <w:tc>
          <w:tcPr>
            <w:tcW w:w="682" w:type="pct"/>
          </w:tcPr>
          <w:p w:rsidR="00EB5CBF" w:rsidRPr="006063DB" w:rsidRDefault="00EB5CBF" w:rsidP="006712EC">
            <w:pPr>
              <w:spacing w:line="276" w:lineRule="auto"/>
              <w:ind w:right="73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Bachelor Program</w:t>
            </w:r>
          </w:p>
        </w:tc>
        <w:tc>
          <w:tcPr>
            <w:tcW w:w="1257" w:type="pct"/>
          </w:tcPr>
          <w:p w:rsidR="00EB5CBF" w:rsidRPr="006063DB" w:rsidRDefault="00EB5CBF" w:rsidP="006712EC">
            <w:pPr>
              <w:spacing w:line="276" w:lineRule="auto"/>
              <w:ind w:right="70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Basic Japanese Writing</w:t>
            </w:r>
          </w:p>
        </w:tc>
        <w:tc>
          <w:tcPr>
            <w:tcW w:w="601" w:type="pct"/>
          </w:tcPr>
          <w:p w:rsidR="00EB5CBF" w:rsidRPr="006063DB" w:rsidRDefault="00EB5CBF" w:rsidP="006712EC">
            <w:pPr>
              <w:spacing w:line="276" w:lineRule="auto"/>
              <w:ind w:right="51"/>
              <w:jc w:val="center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2018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cs/>
                <w:lang w:eastAsia="zh-CN"/>
              </w:rPr>
              <w:t>-</w:t>
            </w:r>
            <w:r w:rsidRPr="006063DB">
              <w:rPr>
                <w:rFonts w:ascii="TH SarabunPSK" w:eastAsiaTheme="minorEastAsia" w:hAnsi="TH SarabunPSK" w:cs="TH SarabunPSK"/>
                <w:sz w:val="24"/>
                <w:szCs w:val="24"/>
                <w:lang w:eastAsia="zh-CN"/>
              </w:rPr>
              <w:t>2021</w:t>
            </w:r>
          </w:p>
        </w:tc>
      </w:tr>
    </w:tbl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</w:rPr>
      </w:pPr>
    </w:p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5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Graduation related work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/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Thesis related work</w:t>
      </w:r>
    </w:p>
    <w:p w:rsidR="00EB5CBF" w:rsidRPr="006063DB" w:rsidRDefault="00EB5CBF" w:rsidP="00EB5CBF">
      <w:pPr>
        <w:tabs>
          <w:tab w:val="left" w:pos="284"/>
        </w:tabs>
        <w:spacing w:after="0" w:line="276" w:lineRule="auto"/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  <w:t>5.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1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Thesis Title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Master Degree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)</w:t>
      </w:r>
    </w:p>
    <w:p w:rsidR="00EB5CBF" w:rsidRPr="006063DB" w:rsidRDefault="00EB5CBF" w:rsidP="00EB5CBF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6063DB">
        <w:rPr>
          <w:rFonts w:ascii="TH SarabunPSK" w:eastAsiaTheme="minorEastAsia" w:hAnsi="TH SarabunPSK" w:cs="TH SarabunPSK"/>
          <w:sz w:val="32"/>
          <w:szCs w:val="32"/>
          <w:lang w:eastAsia="zh-CN"/>
        </w:rPr>
        <w:t>A study of grammatical processing of honorific language by Japanese language learners</w:t>
      </w:r>
      <w:r w:rsidRPr="006063DB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: </w:t>
      </w:r>
      <w:r w:rsidRPr="006063DB">
        <w:rPr>
          <w:rFonts w:ascii="TH SarabunPSK" w:eastAsiaTheme="minorEastAsia" w:hAnsi="TH SarabunPSK" w:cs="TH SarabunPSK"/>
          <w:sz w:val="32"/>
          <w:szCs w:val="32"/>
          <w:lang w:eastAsia="zh-CN"/>
        </w:rPr>
        <w:t>Focusing on an analysis of honorific language misuse</w:t>
      </w:r>
    </w:p>
    <w:p w:rsidR="00EB5CBF" w:rsidRDefault="00EB5CBF" w:rsidP="00EB5CBF">
      <w:pPr>
        <w:tabs>
          <w:tab w:val="left" w:pos="284"/>
        </w:tabs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B5CBF" w:rsidRPr="006063DB" w:rsidRDefault="00EB5CBF" w:rsidP="00EB5CBF">
      <w:pPr>
        <w:tabs>
          <w:tab w:val="left" w:pos="284"/>
        </w:tabs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  <w:t>5.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Thesis Title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Doctoral Degree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)</w:t>
      </w:r>
    </w:p>
    <w:p w:rsidR="00EB5CBF" w:rsidRPr="006063DB" w:rsidRDefault="00EB5CBF" w:rsidP="00EB5CBF">
      <w:pPr>
        <w:pStyle w:val="ListParagraph"/>
        <w:numPr>
          <w:ilvl w:val="0"/>
          <w:numId w:val="2"/>
        </w:numPr>
        <w:tabs>
          <w:tab w:val="left" w:pos="284"/>
        </w:tabs>
        <w:spacing w:after="0" w:line="276" w:lineRule="auto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6063DB">
        <w:rPr>
          <w:rFonts w:ascii="TH SarabunPSK" w:eastAsiaTheme="minorEastAsia" w:hAnsi="TH SarabunPSK" w:cs="TH SarabunPSK"/>
          <w:sz w:val="32"/>
          <w:szCs w:val="32"/>
          <w:lang w:eastAsia="zh-CN"/>
        </w:rPr>
        <w:t>A study on the honorific language system and usage habits in Chinese</w:t>
      </w:r>
      <w:r w:rsidRPr="006063DB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: </w:t>
      </w:r>
      <w:r w:rsidRPr="006063DB">
        <w:rPr>
          <w:rFonts w:ascii="TH SarabunPSK" w:eastAsiaTheme="minorEastAsia" w:hAnsi="TH SarabunPSK" w:cs="TH SarabunPSK"/>
          <w:sz w:val="32"/>
          <w:szCs w:val="32"/>
          <w:lang w:eastAsia="zh-CN"/>
        </w:rPr>
        <w:t>With reference to the framework of the honorific language system in Japanese</w:t>
      </w:r>
    </w:p>
    <w:p w:rsidR="00EB5CBF" w:rsidRPr="006063DB" w:rsidRDefault="00EB5CBF" w:rsidP="00EB5CBF">
      <w:pPr>
        <w:tabs>
          <w:tab w:val="left" w:pos="284"/>
          <w:tab w:val="left" w:pos="426"/>
        </w:tabs>
        <w:spacing w:after="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B5CBF" w:rsidRPr="006063DB" w:rsidRDefault="00EB5CBF" w:rsidP="00EB5CBF">
      <w:pPr>
        <w:spacing w:after="0" w:line="276" w:lineRule="auto"/>
        <w:rPr>
          <w:rFonts w:ascii="TH SarabunPSK" w:eastAsiaTheme="minorHAnsi" w:hAnsi="TH SarabunPSK" w:cs="TH SarabunPSK"/>
          <w:b/>
          <w:bCs/>
          <w:color w:val="FF0000"/>
          <w:sz w:val="32"/>
          <w:szCs w:val="32"/>
          <w:highlight w:val="yellow"/>
          <w:cs/>
        </w:rPr>
      </w:pP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6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Academic achievements for the past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5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years 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Not part of the degree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-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</w:rPr>
        <w:t>seeking study</w:t>
      </w:r>
      <w:r w:rsidRPr="006063DB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)</w:t>
      </w:r>
    </w:p>
    <w:p w:rsidR="00EB5CBF" w:rsidRPr="006063DB" w:rsidRDefault="00EB5CBF" w:rsidP="00EB5CBF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 Research articles published in international academic publications in databases as specified by the Office of the Higher Education Commission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8"/>
        <w:gridCol w:w="5656"/>
        <w:gridCol w:w="1063"/>
        <w:gridCol w:w="829"/>
        <w:gridCol w:w="938"/>
      </w:tblGrid>
      <w:tr w:rsidR="00EB5CBF" w:rsidRPr="006063DB" w:rsidTr="006712EC">
        <w:trPr>
          <w:tblHeader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No</w:t>
            </w: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Research articles </w:t>
            </w: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Academic articles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Year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Month</w:t>
            </w:r>
          </w:p>
        </w:tc>
      </w:tr>
      <w:tr w:rsidR="00EB5CBF" w:rsidRPr="006063DB" w:rsidTr="006712EC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Challenges and Opportunities for Chinese Parents Sending Their Children to Study in Thailand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With the Goal of Quality Education, Focusing on the Interdisciplinary Approaches of Music Education and Impact on Students' Overall Learning Ability and Cognitive Level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cs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Scopus Q1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January</w:t>
            </w:r>
          </w:p>
        </w:tc>
      </w:tr>
      <w:tr w:rsidR="00EB5CBF" w:rsidRPr="006063DB" w:rsidTr="006712EC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Bridging the Gap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 Systematic Review of Digital Literacy Initiatives for Business Leaders and Their Role in Navigating Complex Media Landscapes and Communication Strategies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Scopus Q1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January</w:t>
            </w:r>
          </w:p>
        </w:tc>
      </w:tr>
    </w:tbl>
    <w:p w:rsidR="00EB5CBF" w:rsidRPr="006063DB" w:rsidRDefault="00EB5CBF" w:rsidP="00EB5CB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EB5CBF" w:rsidRPr="006063DB" w:rsidRDefault="00EB5CBF" w:rsidP="00EB5CBF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2 Research articles published in academic journals and are included in the TCI database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1"/>
        <w:gridCol w:w="5598"/>
        <w:gridCol w:w="1040"/>
        <w:gridCol w:w="846"/>
        <w:gridCol w:w="969"/>
      </w:tblGrid>
      <w:tr w:rsidR="00EB5CBF" w:rsidRPr="006063DB" w:rsidTr="006712EC">
        <w:trPr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No</w:t>
            </w: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Research articles </w:t>
            </w: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Academic articles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Year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Month</w:t>
            </w:r>
          </w:p>
        </w:tc>
      </w:tr>
      <w:tr w:rsidR="00EB5CBF" w:rsidRPr="006063DB" w:rsidTr="006712EC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Media information literacy education and evaluation system in Japan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An example of Japanese high school information curriculum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TCI 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6063DB" w:rsidRDefault="00EB5CBF" w:rsidP="006712EC">
            <w:pPr>
              <w:spacing w:line="276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6063DB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February</w:t>
            </w:r>
          </w:p>
        </w:tc>
      </w:tr>
    </w:tbl>
    <w:p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B5A"/>
    <w:multiLevelType w:val="hybridMultilevel"/>
    <w:tmpl w:val="4504F8AC"/>
    <w:lvl w:ilvl="0" w:tplc="89F29B1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3501"/>
    <w:multiLevelType w:val="hybridMultilevel"/>
    <w:tmpl w:val="8BD4B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1330C"/>
    <w:multiLevelType w:val="hybridMultilevel"/>
    <w:tmpl w:val="2F2062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30"/>
    <w:rsid w:val="002B63C1"/>
    <w:rsid w:val="0070750F"/>
    <w:rsid w:val="00E40C30"/>
    <w:rsid w:val="00EB5CBF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223B8-7A3A-4932-8E57-7B89DB93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CBF"/>
    <w:rPr>
      <w:rFonts w:ascii="Calibri" w:eastAsia="Calibri" w:hAnsi="Calibri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B5CBF"/>
    <w:pPr>
      <w:spacing w:after="0" w:line="240" w:lineRule="auto"/>
    </w:pPr>
    <w:rPr>
      <w:rFonts w:ascii="Calibri" w:eastAsia="Calibri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B5CB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B5CBF"/>
    <w:rPr>
      <w:rFonts w:ascii="Calibri" w:eastAsia="Calibr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Peeradon Sriwichit</cp:lastModifiedBy>
  <cp:revision>4</cp:revision>
  <dcterms:created xsi:type="dcterms:W3CDTF">2025-05-13T04:57:00Z</dcterms:created>
  <dcterms:modified xsi:type="dcterms:W3CDTF">2025-05-13T04:59:00Z</dcterms:modified>
</cp:coreProperties>
</file>