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48ED" w:rsidRPr="00164C25" w:rsidRDefault="00BF48ED" w:rsidP="00BF48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A69EBEB" wp14:editId="254DD3B1">
            <wp:extent cx="487492" cy="782320"/>
            <wp:effectExtent l="0" t="0" r="8255" b="0"/>
            <wp:docPr id="171294905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F48ED" w:rsidRPr="00164C25" w:rsidRDefault="00BF48ED" w:rsidP="00BF48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8A37D02" w14:textId="77777777" w:rsidR="00BF48ED" w:rsidRPr="00164C25" w:rsidRDefault="00BF48ED" w:rsidP="00BF48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ดร.ศิวฤทธิ์ พงศกรรังศิลป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14:paraId="0A37501D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BF48ED" w:rsidRPr="00164C25" w14:paraId="14A54DF7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9FFC4E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สำนักวิชาการจัดการ</w:t>
            </w:r>
          </w:p>
          <w:p w14:paraId="27890E0A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7DFE4D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075672202</w:t>
            </w:r>
          </w:p>
          <w:p w14:paraId="6A09E91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7F54121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psiwarit@wu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2947"/>
        <w:gridCol w:w="3071"/>
        <w:gridCol w:w="1816"/>
      </w:tblGrid>
      <w:tr w:rsidR="00BF48ED" w:rsidRPr="00164C25" w14:paraId="187A4588" w14:textId="77777777" w:rsidTr="00647958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F48ED" w:rsidRPr="00164C25" w14:paraId="2C7FF453" w14:textId="77777777" w:rsidTr="00647958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C76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Management Studies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F65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University of Exeter, UK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2553</w:t>
            </w:r>
          </w:p>
        </w:tc>
      </w:tr>
      <w:tr w:rsidR="00BF48ED" w:rsidRPr="00164C25" w14:paraId="6899C543" w14:textId="77777777" w:rsidTr="00647958">
        <w:trPr>
          <w:trHeight w:val="175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35C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020D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บริหารธุรกิจ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90A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2542</w:t>
            </w:r>
          </w:p>
        </w:tc>
      </w:tr>
      <w:tr w:rsidR="00BF48ED" w:rsidRPr="00164C25" w14:paraId="43BFE1DD" w14:textId="77777777" w:rsidTr="00647958">
        <w:trPr>
          <w:trHeight w:val="7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3D43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การตลาด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34A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2539</w:t>
            </w:r>
          </w:p>
        </w:tc>
      </w:tr>
    </w:tbl>
    <w:p w14:paraId="02EB378F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7"/>
        <w:gridCol w:w="3767"/>
        <w:gridCol w:w="1543"/>
      </w:tblGrid>
      <w:tr w:rsidR="00BF48ED" w:rsidRPr="00164C25" w14:paraId="4760DA70" w14:textId="77777777" w:rsidTr="00647958">
        <w:trPr>
          <w:tblHeader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F48ED" w:rsidRPr="00164C25" w14:paraId="77D1FC8C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266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รักษาการแทนรองอธิการบดี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F57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2566 - ปัจจุบัน</w:t>
            </w:r>
          </w:p>
        </w:tc>
      </w:tr>
      <w:tr w:rsidR="00BF48ED" w:rsidRPr="00164C25" w14:paraId="796EB869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949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รักษาการแทนคณบดี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1DE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2565 – 2566</w:t>
            </w:r>
          </w:p>
        </w:tc>
      </w:tr>
      <w:tr w:rsidR="00BF48ED" w:rsidRPr="00164C25" w14:paraId="3F26C301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B37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รักษาการแทนหัวหน้าสาขาวิชาการตลาดดิจิทัล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4D0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BF48ED" w:rsidRPr="00164C25" w14:paraId="5BA8DD06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3A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2560 - ปัจจุบัน</w:t>
            </w:r>
          </w:p>
        </w:tc>
      </w:tr>
      <w:tr w:rsidR="00BF48ED" w:rsidRPr="00164C25" w14:paraId="353D7AAF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510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ผู้อำนวยการฝ่ายบริหารทรัพย์สิน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3A8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190F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2560 - ปัจจุบัน</w:t>
            </w:r>
          </w:p>
        </w:tc>
      </w:tr>
      <w:tr w:rsidR="00BF48ED" w:rsidRPr="00164C25" w14:paraId="7D6AAD78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196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ผู้ช่วยอธิการบดีฝ่ายพัฒนาทรัพย์สิน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A94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2559 - ปัจจุบัน</w:t>
            </w:r>
          </w:p>
        </w:tc>
      </w:tr>
      <w:tr w:rsidR="00BF48ED" w:rsidRPr="00164C25" w14:paraId="165E5565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BF48ED" w:rsidRPr="00164C25" w:rsidRDefault="00BF48ED" w:rsidP="006479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CE5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2548 – 2560</w:t>
            </w:r>
          </w:p>
        </w:tc>
      </w:tr>
      <w:tr w:rsidR="00BF48ED" w:rsidRPr="00164C25" w14:paraId="156D0710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BF48ED" w:rsidRPr="00164C25" w:rsidRDefault="00BF48ED" w:rsidP="006479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4BD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49C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2543 - 2548</w:t>
            </w:r>
          </w:p>
        </w:tc>
      </w:tr>
      <w:tr w:rsidR="00BF48ED" w:rsidRPr="00164C25" w14:paraId="2C69A3A7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119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ผู้จัดการโครงการบริหารธุรกิจมหาบัณฑิต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C28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C0B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2543 - 2545</w:t>
            </w:r>
          </w:p>
        </w:tc>
      </w:tr>
    </w:tbl>
    <w:p w14:paraId="6A05A809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ความเชี่ยวชาญ </w:t>
      </w:r>
    </w:p>
    <w:p w14:paraId="2638A20E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1)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Consumption Studies</w:t>
      </w:r>
    </w:p>
    <w:p w14:paraId="5C207967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2)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Consumer Culture Theory</w:t>
      </w:r>
    </w:p>
    <w:p w14:paraId="49ED8C65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3)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Value Creation Process in Social Network</w:t>
      </w:r>
    </w:p>
    <w:p w14:paraId="7EBE41D8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4)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Consumer Experience</w:t>
      </w:r>
    </w:p>
    <w:p w14:paraId="0F4D69AF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5)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Brand Culture</w:t>
      </w:r>
    </w:p>
    <w:p w14:paraId="393975B2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6)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Brand Community</w:t>
      </w:r>
    </w:p>
    <w:p w14:paraId="5A39BBE3" w14:textId="77777777" w:rsidR="00BF48ED" w:rsidRDefault="00BF48ED" w:rsidP="00BF48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1560"/>
        <w:gridCol w:w="2725"/>
        <w:gridCol w:w="1249"/>
      </w:tblGrid>
      <w:tr w:rsidR="00C6423B" w:rsidRPr="00164C25" w14:paraId="6865ED35" w14:textId="77777777" w:rsidTr="00C6423B">
        <w:trPr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F48ED" w:rsidRPr="00164C25" w14:paraId="2D0D6BC9" w14:textId="77777777" w:rsidTr="00C6423B">
        <w:trPr>
          <w:trHeight w:val="424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9AB1F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C295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8F0D3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การตลาดดิจิทัลและการสร้างแบรนด์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709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62-316 กลยุทธ์ตราสินค้าและการสื่อสารแบรนด์แบบบูรณาการ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BF48ED" w:rsidRPr="00164C25" w14:paraId="0C6310A7" w14:textId="77777777" w:rsidTr="00C6423B">
        <w:trPr>
          <w:trHeight w:val="155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19B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FIN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62-101 การเงินธุรกิจ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BF48ED" w:rsidRPr="00164C25" w14:paraId="0CC05661" w14:textId="77777777" w:rsidTr="00C6423B">
        <w:trPr>
          <w:trHeight w:val="249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B35" w14:textId="77777777" w:rsidR="00BF48ED" w:rsidRPr="00C6423B" w:rsidRDefault="00BF48ED" w:rsidP="00C6423B">
            <w:pPr>
              <w:spacing w:after="0" w:line="240" w:lineRule="auto"/>
              <w:ind w:right="31"/>
              <w:rPr>
                <w:rFonts w:ascii="TH SarabunPSK" w:eastAsia="Times New Roman" w:hAnsi="TH SarabunPSK" w:cs="TH SarabunPSK"/>
                <w:spacing w:val="-4"/>
                <w:sz w:val="24"/>
                <w:szCs w:val="24"/>
              </w:rPr>
            </w:pPr>
            <w:r w:rsidRPr="00C6423B">
              <w:rPr>
                <w:rFonts w:ascii="TH SarabunPSK" w:eastAsia="Times New Roman" w:hAnsi="TH SarabunPSK" w:cs="TH SarabunPSK"/>
                <w:spacing w:val="-4"/>
                <w:sz w:val="24"/>
                <w:szCs w:val="24"/>
              </w:rPr>
              <w:t>MKT</w:t>
            </w:r>
            <w:r w:rsidRPr="00C6423B">
              <w:rPr>
                <w:rFonts w:ascii="TH SarabunPSK" w:eastAsia="Times New Roman" w:hAnsi="TH SarabunPSK" w:cs="TH SarabunPSK"/>
                <w:spacing w:val="-4"/>
                <w:sz w:val="24"/>
                <w:szCs w:val="24"/>
                <w:cs/>
              </w:rPr>
              <w:t>62-211 โมเดลทางธุรกิจในยุคดิจิทัล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818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BF48ED" w:rsidRPr="00164C25" w14:paraId="25D4E12C" w14:textId="77777777" w:rsidTr="00C6423B">
        <w:trPr>
          <w:trHeight w:val="231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856" w14:textId="77777777" w:rsidR="00BF48ED" w:rsidRPr="00C6423B" w:rsidRDefault="00BF48ED" w:rsidP="00C6423B">
            <w:pPr>
              <w:spacing w:after="0" w:line="240" w:lineRule="auto"/>
              <w:ind w:right="31"/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</w:pPr>
            <w:r w:rsidRPr="00C6423B"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  <w:t>MKT</w:t>
            </w:r>
            <w:r w:rsidRPr="00C6423B">
              <w:rPr>
                <w:rFonts w:ascii="TH SarabunPSK" w:eastAsia="Times New Roman" w:hAnsi="TH SarabunPSK" w:cs="TH SarabunPSK"/>
                <w:spacing w:val="-6"/>
                <w:sz w:val="24"/>
                <w:szCs w:val="24"/>
                <w:cs/>
              </w:rPr>
              <w:t>62-326 สัมมนาทางการสร้างแบรนด์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BF48ED" w:rsidRPr="00164C25" w14:paraId="4B6E99C9" w14:textId="77777777" w:rsidTr="00C6423B">
        <w:trPr>
          <w:trHeight w:val="607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CB1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62-316 กลยุทธ์ตราสินค้าและการสื่อสารแบรนด์แบบบูรณาการ </w:t>
            </w:r>
          </w:p>
          <w:p w14:paraId="148AFF29" w14:textId="77777777" w:rsidR="00BF48ED" w:rsidRPr="0011268C" w:rsidRDefault="00BF48ED" w:rsidP="0011268C">
            <w:pPr>
              <w:spacing w:after="0" w:line="240" w:lineRule="auto"/>
              <w:ind w:right="31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</w:rPr>
              <w:t>MKT</w:t>
            </w: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62-301 ระเบียบวิธีวิจัยทางการตลาด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BF48ED" w:rsidRPr="00164C25" w14:paraId="7BC318E1" w14:textId="77777777" w:rsidTr="00C6423B">
        <w:trPr>
          <w:trHeight w:val="183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BC9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62-314 การตลาดดิจิทัลและเครือข่ายสังคมออนไลน์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2564-2565</w:t>
            </w:r>
          </w:p>
        </w:tc>
      </w:tr>
      <w:tr w:rsidR="00BF48ED" w:rsidRPr="00164C25" w14:paraId="65251309" w14:textId="77777777" w:rsidTr="00C6423B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186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62-313 วิจัยทางการตลาด </w:t>
            </w:r>
          </w:p>
          <w:p w14:paraId="78F31182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62-101 หลักการตลาด</w:t>
            </w:r>
          </w:p>
          <w:p w14:paraId="1517349D" w14:textId="77777777" w:rsidR="00BF48ED" w:rsidRPr="0011268C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</w:rPr>
              <w:t>MKT</w:t>
            </w: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62-301 ระเบียบวิธีวิจัยทางการตลาด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BF48ED" w:rsidRPr="00164C25" w14:paraId="3CE9C6C2" w14:textId="77777777" w:rsidTr="00C6423B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252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62-111 พฤติกรรมผู้บริโภคในยุคดิจิทัล </w:t>
            </w:r>
          </w:p>
          <w:p w14:paraId="6EE70454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62-314 การตลาดดิจิทัลและเครือข่ายสังคมออนไลน์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  <w:tr w:rsidR="00BF48ED" w:rsidRPr="00164C25" w14:paraId="3E69F0F1" w14:textId="77777777" w:rsidTr="00C6423B"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B22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970" w14:textId="77777777" w:rsidR="00BF48ED" w:rsidRPr="002C565C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C565C">
              <w:rPr>
                <w:rFonts w:ascii="TH SarabunPSK" w:hAnsi="TH SarabunPSK" w:cs="TH SarabunPSK"/>
                <w:spacing w:val="-6"/>
                <w:sz w:val="24"/>
                <w:szCs w:val="24"/>
              </w:rPr>
              <w:t>MKT</w:t>
            </w:r>
            <w:r w:rsidRPr="002C565C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60-442 หัวข้อเฉพาะด้าน: การตลาด</w:t>
            </w:r>
          </w:p>
          <w:p w14:paraId="41DBF4AE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60-316 กลยุทธ์ตราสินค้าและการสื่อสารแบรนด์แบบบูรณาการ</w:t>
            </w:r>
          </w:p>
          <w:p w14:paraId="2A2C6E7C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60-313 กลยุทธ์การพัฒนาผลิตภัณฑ์และบรรจุภัณฑ์</w:t>
            </w:r>
          </w:p>
          <w:p w14:paraId="501E5FB9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60-312 การตลาดดิจิทัลเชิงสร้างสรรค์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</w:tbl>
    <w:p w14:paraId="62EBF3C5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4F53A3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33E67AC6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4BA78E73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1BBD13F9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D98A12B" w14:textId="77777777" w:rsidR="00BF48ED" w:rsidRPr="00164C25" w:rsidRDefault="00BF48ED" w:rsidP="00BF48ED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D61D43" w14:textId="77777777" w:rsidR="00BF48ED" w:rsidRPr="00164C25" w:rsidRDefault="00BF48ED" w:rsidP="00BF48ED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ชื่อวิทยานิพนธ ระดับปริญญาเอก</w:t>
      </w:r>
    </w:p>
    <w:p w14:paraId="0BE14808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2946DB82" w14:textId="77777777" w:rsidR="00BF48ED" w:rsidRPr="00164C25" w:rsidRDefault="00BF48ED" w:rsidP="00BF48ED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436FE54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09FA2A7E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997CC1D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10FFD37" w14:textId="77777777" w:rsidR="00BF48ED" w:rsidRDefault="00BF48ED" w:rsidP="00BF48ED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BF48ED" w:rsidRPr="00164C25" w:rsidRDefault="00BF48ED" w:rsidP="00BF48ED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 ที่ไม่ใช่ส่วนหนึ่งของการศึกษาเพื่อรับปริญญา</w:t>
      </w:r>
    </w:p>
    <w:p w14:paraId="7AB9D08C" w14:textId="77777777" w:rsidR="00BF48ED" w:rsidRPr="00164C25" w:rsidRDefault="00BF48ED" w:rsidP="00BF48ED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4"/>
        <w:tblW w:w="4926" w:type="pct"/>
        <w:tblInd w:w="137" w:type="dxa"/>
        <w:tblLook w:val="04A0" w:firstRow="1" w:lastRow="0" w:firstColumn="1" w:lastColumn="0" w:noHBand="0" w:noVBand="1"/>
      </w:tblPr>
      <w:tblGrid>
        <w:gridCol w:w="709"/>
        <w:gridCol w:w="5234"/>
        <w:gridCol w:w="1305"/>
        <w:gridCol w:w="868"/>
        <w:gridCol w:w="962"/>
      </w:tblGrid>
      <w:tr w:rsidR="00BF48ED" w:rsidRPr="00164C25" w14:paraId="2A16D62D" w14:textId="77777777" w:rsidTr="1D05A94E">
        <w:trPr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BF48ED" w:rsidRPr="00164C25" w14:paraId="2C57515C" w14:textId="77777777" w:rsidTr="1D05A94E">
        <w:tc>
          <w:tcPr>
            <w:tcW w:w="390" w:type="pct"/>
          </w:tcPr>
          <w:p w14:paraId="649841BE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83" w:type="pct"/>
          </w:tcPr>
          <w:p w14:paraId="3118DBE2" w14:textId="495C6A72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Siriwong, C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Kumar, V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Mindful mindsets and rural community characteristics in promoting sustainable rural tourism and facilitating the tangible implementation of the circular economy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Tourism Futures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21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1D05A94E" w:rsidRPr="1D05A94E">
              <w:rPr>
                <w:rFonts w:ascii="TH SarabunPSK" w:hAnsi="TH SarabunPSK" w:cs="TH SarabunPSK"/>
                <w:sz w:val="28"/>
                <w:szCs w:val="28"/>
              </w:rPr>
              <w:t xml:space="preserve"> 2055-5911.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1108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JTF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0041</w:t>
            </w:r>
          </w:p>
        </w:tc>
        <w:tc>
          <w:tcPr>
            <w:tcW w:w="719" w:type="pct"/>
          </w:tcPr>
          <w:p w14:paraId="67DBD462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0CBABFE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530" w:type="pct"/>
          </w:tcPr>
          <w:p w14:paraId="4CA9556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BF48ED" w:rsidRPr="00164C25" w14:paraId="281AD21D" w14:textId="77777777" w:rsidTr="1D05A94E">
        <w:tc>
          <w:tcPr>
            <w:tcW w:w="390" w:type="pct"/>
          </w:tcPr>
          <w:p w14:paraId="18F999B5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2883" w:type="pct"/>
          </w:tcPr>
          <w:p w14:paraId="631FC081" w14:textId="398000CF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Chinchanachokchai,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Pusaksrikit, 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Enhancing cultural intelligence and global competency in marketing education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A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comparison between study abroad and host country students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Marketing Education Review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1D05A94E" w:rsidRPr="1D05A94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1D05A94E"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35</w:t>
            </w:r>
            <w:r w:rsidR="1D05A94E" w:rsidRPr="1D05A94E">
              <w:rPr>
                <w:rFonts w:ascii="TH SarabunPSK" w:hAnsi="TH SarabunPSK" w:cs="TH SarabunPSK"/>
                <w:sz w:val="28"/>
                <w:szCs w:val="28"/>
              </w:rPr>
              <w:t>(1), 31–43.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10528008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2417096</w:t>
            </w:r>
          </w:p>
        </w:tc>
        <w:tc>
          <w:tcPr>
            <w:tcW w:w="719" w:type="pct"/>
          </w:tcPr>
          <w:p w14:paraId="60C4BD0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4A8B0D65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78" w:type="pct"/>
          </w:tcPr>
          <w:p w14:paraId="6DC366A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0" w:type="pct"/>
          </w:tcPr>
          <w:p w14:paraId="4766A56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BF48ED" w:rsidRPr="00164C25" w14:paraId="27EF17D7" w14:textId="77777777" w:rsidTr="1D05A94E">
        <w:tc>
          <w:tcPr>
            <w:tcW w:w="390" w:type="pct"/>
          </w:tcPr>
          <w:p w14:paraId="5FCD5EC4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83" w:type="pct"/>
          </w:tcPr>
          <w:p w14:paraId="0C5DA6E3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Praditsilp, 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Pongsakornrungsilp,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Thai dance diplomacy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Thai government communication strategies for building soft power through staging Thai performances abroad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International Communication, 30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),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84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13216597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2279311</w:t>
            </w:r>
          </w:p>
        </w:tc>
        <w:tc>
          <w:tcPr>
            <w:tcW w:w="719" w:type="pct"/>
          </w:tcPr>
          <w:p w14:paraId="38EA55A1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35CD073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78" w:type="pct"/>
          </w:tcPr>
          <w:p w14:paraId="6468BAA9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30" w:type="pct"/>
          </w:tcPr>
          <w:p w14:paraId="6E40E80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6B699379" w14:textId="77777777" w:rsidR="00BF48ED" w:rsidRPr="0078331D" w:rsidRDefault="00BF48ED" w:rsidP="00BF48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2A2A14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BF48ED" w:rsidRPr="00164C25" w:rsidRDefault="00BF48ED" w:rsidP="00BF48ED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BF48ED" w:rsidRPr="00164C25" w:rsidRDefault="00BF48ED" w:rsidP="00BF48ED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F72F646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494041F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6.4 ตำรา หนังสือ</w:t>
      </w:r>
    </w:p>
    <w:tbl>
      <w:tblPr>
        <w:tblStyle w:val="TableGrid4"/>
        <w:tblW w:w="4926" w:type="pct"/>
        <w:tblInd w:w="137" w:type="dxa"/>
        <w:tblLook w:val="04A0" w:firstRow="1" w:lastRow="0" w:firstColumn="1" w:lastColumn="0" w:noHBand="0" w:noVBand="1"/>
      </w:tblPr>
      <w:tblGrid>
        <w:gridCol w:w="1035"/>
        <w:gridCol w:w="6336"/>
        <w:gridCol w:w="844"/>
        <w:gridCol w:w="863"/>
      </w:tblGrid>
      <w:tr w:rsidR="002C29CA" w:rsidRPr="00164C25" w14:paraId="3C310222" w14:textId="77777777" w:rsidTr="002C29CA">
        <w:trPr>
          <w:tblHeader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28C6C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ลำดับ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D8FC5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ชื่อผลงานวิชาการ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638B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ปี พ.ศ.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2237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เดือน</w:t>
            </w:r>
          </w:p>
        </w:tc>
      </w:tr>
      <w:tr w:rsidR="00BF48ED" w:rsidRPr="00164C25" w14:paraId="0C537E4E" w14:textId="77777777" w:rsidTr="002C29CA">
        <w:trPr>
          <w:trHeight w:val="791"/>
        </w:trPr>
        <w:tc>
          <w:tcPr>
            <w:tcW w:w="570" w:type="pct"/>
          </w:tcPr>
          <w:p w14:paraId="56B20A0C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490" w:type="pct"/>
          </w:tcPr>
          <w:p w14:paraId="6DDC7359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(2564)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หลักการตลาด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พิมพ์</w:t>
            </w:r>
          </w:p>
          <w:p w14:paraId="1682CEB8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3 กรุงเทพฯ: สำนักพิมพ์ ท้อป จำกัด</w:t>
            </w:r>
          </w:p>
        </w:tc>
        <w:tc>
          <w:tcPr>
            <w:tcW w:w="465" w:type="pct"/>
          </w:tcPr>
          <w:p w14:paraId="6C49877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  <w:tc>
          <w:tcPr>
            <w:tcW w:w="475" w:type="pct"/>
          </w:tcPr>
          <w:p w14:paraId="694EC3F4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BF48ED" w:rsidRPr="00164C25" w14:paraId="68DA78FD" w14:textId="77777777" w:rsidTr="002C29CA">
        <w:trPr>
          <w:trHeight w:val="844"/>
        </w:trPr>
        <w:tc>
          <w:tcPr>
            <w:tcW w:w="570" w:type="pct"/>
          </w:tcPr>
          <w:p w14:paraId="7144751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490" w:type="pct"/>
          </w:tcPr>
          <w:p w14:paraId="37BE0F93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(2555)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หลักการตลาด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พิมพ์</w:t>
            </w:r>
          </w:p>
          <w:p w14:paraId="090FF6D3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2 กรุงเทพฯ: สำนักพิมพ์ ท้อป จำกัด</w:t>
            </w:r>
          </w:p>
        </w:tc>
        <w:tc>
          <w:tcPr>
            <w:tcW w:w="465" w:type="pct"/>
          </w:tcPr>
          <w:p w14:paraId="6BDC132C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  <w:tc>
          <w:tcPr>
            <w:tcW w:w="475" w:type="pct"/>
          </w:tcPr>
          <w:p w14:paraId="3AC2E41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BF48ED" w:rsidRPr="00164C25" w14:paraId="095091AF" w14:textId="77777777" w:rsidTr="002C29CA">
        <w:trPr>
          <w:trHeight w:val="700"/>
        </w:trPr>
        <w:tc>
          <w:tcPr>
            <w:tcW w:w="570" w:type="pct"/>
          </w:tcPr>
          <w:p w14:paraId="0B778152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490" w:type="pct"/>
          </w:tcPr>
          <w:p w14:paraId="49CCE8C3" w14:textId="77777777" w:rsidR="00BF48ED" w:rsidRPr="00164C25" w:rsidRDefault="00BF48ED" w:rsidP="00647958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(2548)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การโฆษณาและ</w:t>
            </w:r>
          </w:p>
          <w:p w14:paraId="5D369580" w14:textId="77777777" w:rsidR="00BF48ED" w:rsidRPr="00164C25" w:rsidRDefault="00BF48ED" w:rsidP="00647958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ส่งเสริมการตลาด: มุมมองของการสื่อสารการตลาด</w:t>
            </w:r>
          </w:p>
          <w:p w14:paraId="00322A0B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แบบบูรณาการ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(แปลจาก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George 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Belch and</w:t>
            </w:r>
          </w:p>
          <w:p w14:paraId="67791B27" w14:textId="77777777" w:rsidR="00BF48ED" w:rsidRPr="002C29CA" w:rsidRDefault="00BF48ED" w:rsidP="00647958">
            <w:pPr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</w:rPr>
              <w:t>Michael A</w:t>
            </w: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. </w:t>
            </w: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</w:rPr>
              <w:t>Belch by the Right of McGrawHill</w:t>
            </w: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) กรุงเทพฯ: สำนักพิมพ์ ท้อป จำกัด</w:t>
            </w:r>
          </w:p>
        </w:tc>
        <w:tc>
          <w:tcPr>
            <w:tcW w:w="465" w:type="pct"/>
          </w:tcPr>
          <w:p w14:paraId="6B0DD5C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2548</w:t>
            </w:r>
          </w:p>
        </w:tc>
        <w:tc>
          <w:tcPr>
            <w:tcW w:w="475" w:type="pct"/>
          </w:tcPr>
          <w:p w14:paraId="09D9AC6E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BF48ED" w:rsidRPr="00164C25" w14:paraId="4EC34BAF" w14:textId="77777777" w:rsidTr="002C29CA">
        <w:trPr>
          <w:trHeight w:val="700"/>
        </w:trPr>
        <w:tc>
          <w:tcPr>
            <w:tcW w:w="570" w:type="pct"/>
          </w:tcPr>
          <w:p w14:paraId="2598DEE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3490" w:type="pct"/>
          </w:tcPr>
          <w:p w14:paraId="25924113" w14:textId="77777777" w:rsidR="00BF48ED" w:rsidRPr="00164C25" w:rsidRDefault="00BF48ED" w:rsidP="00647958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(2547)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หลักการตลาด</w:t>
            </w:r>
          </w:p>
          <w:p w14:paraId="3C543CEA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กรุงเทพฯ: สำนักพิมพ์ ท้อป จำกัด</w:t>
            </w:r>
          </w:p>
        </w:tc>
        <w:tc>
          <w:tcPr>
            <w:tcW w:w="465" w:type="pct"/>
          </w:tcPr>
          <w:p w14:paraId="706E050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2547</w:t>
            </w:r>
          </w:p>
        </w:tc>
        <w:tc>
          <w:tcPr>
            <w:tcW w:w="475" w:type="pct"/>
          </w:tcPr>
          <w:p w14:paraId="2A9CB6E2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BF48ED" w:rsidRPr="00164C25" w14:paraId="3E6AD20E" w14:textId="77777777" w:rsidTr="002C29CA">
        <w:trPr>
          <w:trHeight w:val="700"/>
        </w:trPr>
        <w:tc>
          <w:tcPr>
            <w:tcW w:w="570" w:type="pct"/>
          </w:tcPr>
          <w:p w14:paraId="78941E4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3490" w:type="pct"/>
          </w:tcPr>
          <w:p w14:paraId="7116EECB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(2547)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สถิติธุรกิจ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กรุงเทพฯ:</w:t>
            </w:r>
          </w:p>
          <w:p w14:paraId="3C9BBA26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เพียร์สัน อินโดไชน่า จำกัด (ประเทศไทย)</w:t>
            </w:r>
          </w:p>
        </w:tc>
        <w:tc>
          <w:tcPr>
            <w:tcW w:w="465" w:type="pct"/>
          </w:tcPr>
          <w:p w14:paraId="53656DD1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2547</w:t>
            </w:r>
          </w:p>
        </w:tc>
        <w:tc>
          <w:tcPr>
            <w:tcW w:w="475" w:type="pct"/>
          </w:tcPr>
          <w:p w14:paraId="2D98F6D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</w:tbl>
    <w:p w14:paraId="08CE6F91" w14:textId="77777777" w:rsidR="00BF48ED" w:rsidRPr="00164C25" w:rsidRDefault="00BF48ED" w:rsidP="00BF48ED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A5B7069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61CDCEAD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6DF7B9A8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B9E253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3DE523C" w14:textId="77777777" w:rsidR="002C29CA" w:rsidRDefault="002C29CA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41ED30F3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BF48ED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C25AC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F48ED" w:rsidRPr="00164C25" w14:paraId="322F2A7A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1E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Gold Award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รางวัลคณาจารย์ที่มีผลงานวิจัยดีเด่น สำนักวิชาการจัดการ มหาวิทยาลัยวลัยลักษณ์ เมื่อ : 29/06/2566 ผู้ได้รับรางวัล : รศ.ดร.ศิวฤทธิ์ พงศกรรังศิลป์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</w:t>
            </w:r>
          </w:p>
        </w:tc>
      </w:tr>
      <w:tr w:rsidR="00BF48ED" w:rsidRPr="00164C25" w14:paraId="29B437A0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B58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Shortlisted UK Alumni Awards for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2021-2022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in Science and Sustainability,</w:t>
            </w:r>
          </w:p>
          <w:p w14:paraId="3DFD0AE8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British Council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</w:t>
            </w:r>
          </w:p>
        </w:tc>
      </w:tr>
      <w:tr w:rsidR="00BF48ED" w:rsidRPr="00164C25" w14:paraId="59C0388E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D34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ชื่อผลงาน : การรับรองการเรียนการสอนมาตรฐาน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UK Professional Standards</w:t>
            </w:r>
          </w:p>
          <w:p w14:paraId="09AD1D7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Framework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UKPSF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ในระดับ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Fellow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FHEA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PR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225953)</w:t>
            </w:r>
          </w:p>
          <w:p w14:paraId="5FDE412D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เมื่อ 09/11/2564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Date of recognition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09/11/2021)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BC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BF48ED" w:rsidRPr="00164C25" w14:paraId="5BA53D71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621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รางวัลศิษย์เก่าดีเด่น ประจำปี 2564 ด้านความสำเร็จในหน้าที่/อาชีพการงาน คณะ</w:t>
            </w:r>
          </w:p>
          <w:p w14:paraId="733B009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มหาวิทยาลัยแม่โจ้ในโอกาสครบรอบ 45 ปี คณะบริหารธุรกิจ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0E1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BF48ED" w:rsidRPr="00164C25" w14:paraId="18F3079C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52C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Best Paper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บทความเรื่อง การสร้างอัตลักษณ์ทางการท่องเที่ยวของพุน้ำร้อน</w:t>
            </w:r>
          </w:p>
          <w:p w14:paraId="26201C93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เค็มคลองท่อม จังหวัดกระบี่ งานประชุมวิชาการระดับชาติด้านบริหารธุรกิจ ครั้งที่ 8</w:t>
            </w:r>
          </w:p>
          <w:p w14:paraId="16C8949D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คณะบริหารธุรกิจ มหาวิทยาลัยแม่โจ้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995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BF48ED" w:rsidRPr="00164C25" w14:paraId="2900C0CF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D8F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รางวัลนักวิจัยดีเด่น ประจำปี พ.ศ.2563 ประเภทที่ 1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High quality publication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1) จำนวนผลงานวิจัยที่ตีพิมพ์ในฐานข้อมูลนานาชาติ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 ระดับ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Senior researcher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มหาวิทยาลัยวลัยลักษณ์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286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  <w:tr w:rsidR="00BF48ED" w:rsidRPr="00164C25" w14:paraId="4387868F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CCC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Best Paper Award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Influences of Customer Value Co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Creation</w:t>
            </w:r>
          </w:p>
          <w:p w14:paraId="105FB2D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Behavior on Customer Brand Engagement of Furniture and Home</w:t>
            </w:r>
          </w:p>
          <w:p w14:paraId="3AAA5BE5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Decoration Business in Thailand, the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 Aalborg International Business</w:t>
            </w:r>
          </w:p>
          <w:p w14:paraId="72BFD454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Conference, Aalborg University, Denmark,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May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– 1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June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2561</w:t>
            </w:r>
          </w:p>
        </w:tc>
      </w:tr>
      <w:tr w:rsidR="00BF48ED" w:rsidRPr="00164C25" w14:paraId="0D118359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AD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Best Presentation Award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Co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Creating the Tourism Identity of</w:t>
            </w:r>
          </w:p>
          <w:p w14:paraId="011E785E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Gastronomic Creative City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The Case of Phuket, The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 International</w:t>
            </w:r>
          </w:p>
          <w:p w14:paraId="5A6EBAF2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Conference of Innovation, Valencia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Spain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 – 27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October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2560</w:t>
            </w:r>
          </w:p>
        </w:tc>
      </w:tr>
      <w:tr w:rsidR="00BF48ED" w:rsidRPr="00164C25" w14:paraId="6B6008A8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F9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รางวัลผลงานวิจัยดีเด่น สำนักงานกองทุนสนับสนุนการวิจัยจากแผนงานวิจัย การพัฒนาธุรกิจท่องเที่ยวเพื่อรองรับการขยายตัวของอุตสาหกรรมท่องเที่ยว จังหวัดกระบี่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303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</w:tr>
      <w:tr w:rsidR="00BF48ED" w:rsidRPr="00164C25" w14:paraId="3BE23B19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C8C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Bronze Award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ในงาน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Research Expo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2014 จัดโดยสำนักงานคณะกรรมการวิจัยแห่งชาติ (วช.)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8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</w:tr>
      <w:tr w:rsidR="00BF48ED" w:rsidRPr="00164C25" w14:paraId="722FD890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880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รางวัลการบริการวิชาการดีเด่น ปี พ.ศ. 2557 มหาวิทยาลัยวลัยลักษณ์จากผลงานท้อฟฟี่ส้มโอแสงวิมาณ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75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</w:tr>
      <w:tr w:rsidR="00BF48ED" w:rsidRPr="00164C25" w14:paraId="02CCF05A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493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รางวัลผลงานวิจัยดีเด่น สำนักงานกองทุนสนับสนุนการวิจัยจากแผนงานวิจัย แนว</w:t>
            </w:r>
          </w:p>
          <w:p w14:paraId="2EBE928F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ทางการพัฒนาแหล่งท่องเที่ยวพุน้ำร้อนเคมีคลองท่อม จังหวัดกระบี่อย่างยั่งยืน.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C98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2558</w:t>
            </w:r>
          </w:p>
        </w:tc>
      </w:tr>
      <w:tr w:rsidR="00BF48ED" w:rsidRPr="00164C25" w14:paraId="7C10D41A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F59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รางวัลโปสเตอร์ยอดเยี่ยม การประชุมวิชาการวลัยลักษณ์วิจัยครั้งที่ 3</w:t>
            </w:r>
          </w:p>
          <w:p w14:paraId="5C8715C8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 พ.ศ.2556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2556</w:t>
            </w:r>
          </w:p>
        </w:tc>
      </w:tr>
      <w:tr w:rsidR="00BF48ED" w:rsidRPr="00164C25" w14:paraId="06687D43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4D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รางวัลการบริการวิชาการดีเด่น ปี พ.ศ. 2556 มหาวิทยาลัยวลัยลักษณ์จากผลงานเยลลี่ส้มโอแสงวิมาน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957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2556</w:t>
            </w:r>
          </w:p>
        </w:tc>
      </w:tr>
    </w:tbl>
    <w:p w14:paraId="07547A0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58"/>
    <w:rsid w:val="00097758"/>
    <w:rsid w:val="0011268C"/>
    <w:rsid w:val="002C29CA"/>
    <w:rsid w:val="002C565C"/>
    <w:rsid w:val="002E5A38"/>
    <w:rsid w:val="00A7039B"/>
    <w:rsid w:val="00BF48ED"/>
    <w:rsid w:val="00C6423B"/>
    <w:rsid w:val="00F8788B"/>
    <w:rsid w:val="00F97D44"/>
    <w:rsid w:val="1D05A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985E"/>
  <w15:chartTrackingRefBased/>
  <w15:docId w15:val="{18A8D54A-529E-46B2-9B0D-852DC83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ED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4">
    <w:name w:val="Table Grid4"/>
    <w:basedOn w:val="a1"/>
    <w:next w:val="a3"/>
    <w:uiPriority w:val="39"/>
    <w:rsid w:val="00BF48ED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2025-07-23T02:41:00Z</dcterms:created>
  <dcterms:modified xsi:type="dcterms:W3CDTF">2025-07-23T02:41:00Z</dcterms:modified>
</cp:coreProperties>
</file>