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3ADCD" wp14:editId="56DDC929">
            <wp:extent cx="487492" cy="782320"/>
            <wp:effectExtent l="0" t="0" r="8255" b="0"/>
            <wp:docPr id="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3C9E16" w14:textId="77777777" w:rsidR="00177321" w:rsidRDefault="00177321" w:rsidP="00177321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 อมรศักดิ์ สวัสดี</w:t>
      </w:r>
    </w:p>
    <w:p w14:paraId="0A37501D" w14:textId="77777777" w:rsidR="00177321" w:rsidRPr="009A193B" w:rsidRDefault="00177321" w:rsidP="00177321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988"/>
        <w:gridCol w:w="2142"/>
      </w:tblGrid>
      <w:tr w:rsidR="00177321" w:rsidRPr="009A193B" w14:paraId="68AF37BA" w14:textId="77777777" w:rsidTr="002122B8">
        <w:tc>
          <w:tcPr>
            <w:tcW w:w="5811" w:type="dxa"/>
          </w:tcPr>
          <w:p w14:paraId="536E17AC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E215F10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 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</w:p>
          <w:p w14:paraId="27890E0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</w:tcPr>
          <w:p w14:paraId="37E86EF2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19" w:type="dxa"/>
          </w:tcPr>
          <w:p w14:paraId="2BA2B1D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075673535</w:t>
            </w:r>
          </w:p>
          <w:p w14:paraId="27776A6C" w14:textId="77777777" w:rsidR="00177321" w:rsidRPr="009A193B" w:rsidRDefault="00177321" w:rsidP="002122B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075672004</w:t>
            </w:r>
          </w:p>
          <w:p w14:paraId="31C2ADD3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samonsak@wu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815"/>
        <w:gridCol w:w="3728"/>
        <w:gridCol w:w="3728"/>
        <w:gridCol w:w="836"/>
      </w:tblGrid>
      <w:tr w:rsidR="00177321" w:rsidRPr="00075888" w14:paraId="171A18CC" w14:textId="77777777" w:rsidTr="002122B8">
        <w:tc>
          <w:tcPr>
            <w:tcW w:w="447" w:type="pct"/>
            <w:shd w:val="clear" w:color="auto" w:fill="D9D9D9" w:themeFill="background1" w:themeFillShade="D9"/>
          </w:tcPr>
          <w:p w14:paraId="3D8CD3D2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0BD40036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26FFECF9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14:paraId="04453AA5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1FCBD128" w14:textId="77777777" w:rsidTr="002122B8">
        <w:tc>
          <w:tcPr>
            <w:tcW w:w="447" w:type="pct"/>
          </w:tcPr>
          <w:p w14:paraId="16D546E4" w14:textId="77777777" w:rsidR="00177321" w:rsidRPr="00075888" w:rsidRDefault="00177321" w:rsidP="002122B8">
            <w:pPr>
              <w:ind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Ph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075888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2047" w:type="pct"/>
          </w:tcPr>
          <w:p w14:paraId="13252CD2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Ocean and Earth Science</w:t>
            </w:r>
          </w:p>
        </w:tc>
        <w:tc>
          <w:tcPr>
            <w:tcW w:w="2047" w:type="pct"/>
          </w:tcPr>
          <w:p w14:paraId="19DE270C" w14:textId="77777777" w:rsidR="00177321" w:rsidRPr="00075888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University of Southampton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75888">
              <w:rPr>
                <w:rFonts w:ascii="TH SarabunPSK" w:hAnsi="TH SarabunPSK" w:cs="TH SarabunPSK"/>
                <w:sz w:val="28"/>
              </w:rPr>
              <w:t>UK</w:t>
            </w:r>
          </w:p>
        </w:tc>
        <w:tc>
          <w:tcPr>
            <w:tcW w:w="459" w:type="pct"/>
          </w:tcPr>
          <w:p w14:paraId="4573AC9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2558</w:t>
            </w:r>
          </w:p>
        </w:tc>
      </w:tr>
      <w:tr w:rsidR="00177321" w:rsidRPr="00075888" w14:paraId="3AE8D91C" w14:textId="77777777" w:rsidTr="002122B8">
        <w:tc>
          <w:tcPr>
            <w:tcW w:w="447" w:type="pct"/>
          </w:tcPr>
          <w:p w14:paraId="5FA64B99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047" w:type="pct"/>
          </w:tcPr>
          <w:p w14:paraId="485161E7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การจัดการประมง</w:t>
            </w:r>
          </w:p>
        </w:tc>
        <w:tc>
          <w:tcPr>
            <w:tcW w:w="2047" w:type="pct"/>
          </w:tcPr>
          <w:p w14:paraId="12B8E62D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</w:tc>
        <w:tc>
          <w:tcPr>
            <w:tcW w:w="459" w:type="pct"/>
          </w:tcPr>
          <w:p w14:paraId="6B0DD5C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2548</w:t>
            </w:r>
          </w:p>
        </w:tc>
      </w:tr>
      <w:tr w:rsidR="00177321" w:rsidRPr="00075888" w14:paraId="1864034D" w14:textId="77777777" w:rsidTr="002122B8">
        <w:tc>
          <w:tcPr>
            <w:tcW w:w="447" w:type="pct"/>
          </w:tcPr>
          <w:p w14:paraId="1BD3D0DE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047" w:type="pct"/>
          </w:tcPr>
          <w:p w14:paraId="46AD174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การจัดการทรัพยากรทางทะเลและชายฝั่ง</w:t>
            </w:r>
          </w:p>
        </w:tc>
        <w:tc>
          <w:tcPr>
            <w:tcW w:w="2047" w:type="pct"/>
          </w:tcPr>
          <w:p w14:paraId="2263DC0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59" w:type="pct"/>
          </w:tcPr>
          <w:p w14:paraId="6D51EEE7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2545</w:t>
            </w:r>
          </w:p>
        </w:tc>
      </w:tr>
    </w:tbl>
    <w:p w14:paraId="02EB378F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02"/>
        <w:gridCol w:w="5360"/>
        <w:gridCol w:w="1545"/>
      </w:tblGrid>
      <w:tr w:rsidR="00177321" w:rsidRPr="00075888" w14:paraId="0B357D1B" w14:textId="77777777" w:rsidTr="002122B8">
        <w:tc>
          <w:tcPr>
            <w:tcW w:w="1209" w:type="pct"/>
            <w:shd w:val="clear" w:color="auto" w:fill="D9D9D9" w:themeFill="background1" w:themeFillShade="D9"/>
          </w:tcPr>
          <w:p w14:paraId="3BED2E51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43" w:type="pct"/>
            <w:shd w:val="clear" w:color="auto" w:fill="D9D9D9" w:themeFill="background1" w:themeFillShade="D9"/>
          </w:tcPr>
          <w:p w14:paraId="6502AB3B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14:paraId="5013E8AD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0A4B2D21" w14:textId="77777777" w:rsidTr="002122B8">
        <w:tc>
          <w:tcPr>
            <w:tcW w:w="1209" w:type="pct"/>
          </w:tcPr>
          <w:p w14:paraId="5A1C69F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</w:t>
            </w:r>
          </w:p>
        </w:tc>
        <w:tc>
          <w:tcPr>
            <w:tcW w:w="2943" w:type="pct"/>
          </w:tcPr>
          <w:p w14:paraId="5D9065A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ผู้อำนวยการศูนย์บริการวิชาการ</w:t>
            </w:r>
          </w:p>
        </w:tc>
        <w:tc>
          <w:tcPr>
            <w:tcW w:w="848" w:type="pct"/>
          </w:tcPr>
          <w:p w14:paraId="36275BEE" w14:textId="77777777" w:rsidR="00177321" w:rsidRPr="00075888" w:rsidRDefault="00177321" w:rsidP="00D71E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2563-ปัจจุบัน</w:t>
            </w:r>
          </w:p>
        </w:tc>
      </w:tr>
      <w:tr w:rsidR="00177321" w:rsidRPr="00075888" w14:paraId="1BBE93E5" w14:textId="77777777" w:rsidTr="002122B8">
        <w:tc>
          <w:tcPr>
            <w:tcW w:w="1209" w:type="pct"/>
          </w:tcPr>
          <w:p w14:paraId="7AC8C97F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0823AE0D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</w:tcPr>
          <w:p w14:paraId="635A1A1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2562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177321" w:rsidRPr="00075888" w14:paraId="1C4A9796" w14:textId="77777777" w:rsidTr="002122B8">
        <w:tc>
          <w:tcPr>
            <w:tcW w:w="1209" w:type="pct"/>
          </w:tcPr>
          <w:p w14:paraId="19364FB6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หัวหน้าสาขาเทคโนโลยีทรัพยากรและสิ่งแวดล้อม</w:t>
            </w:r>
          </w:p>
        </w:tc>
        <w:tc>
          <w:tcPr>
            <w:tcW w:w="2943" w:type="pct"/>
          </w:tcPr>
          <w:p w14:paraId="32C41C37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06DD658C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177321" w:rsidRPr="00075888" w14:paraId="0270D847" w14:textId="77777777" w:rsidTr="002122B8">
        <w:tc>
          <w:tcPr>
            <w:tcW w:w="1209" w:type="pct"/>
          </w:tcPr>
          <w:p w14:paraId="6F3E6F1B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7721E3C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26BD8C2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177321" w:rsidRPr="00075888" w14:paraId="1F0F09A5" w14:textId="77777777" w:rsidTr="002122B8">
        <w:tc>
          <w:tcPr>
            <w:tcW w:w="1209" w:type="pct"/>
          </w:tcPr>
          <w:p w14:paraId="1C4E2E7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943" w:type="pct"/>
          </w:tcPr>
          <w:p w14:paraId="61ED6E80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สาขาวิชาประมง มหาวิทยาลัยเทคโนโลยีราชมงคลศรีวิชัย วิทยาลัยเขตไสใหญ่ จังหวัดนครศรีธรรมราช </w:t>
            </w:r>
          </w:p>
        </w:tc>
        <w:tc>
          <w:tcPr>
            <w:tcW w:w="848" w:type="pct"/>
          </w:tcPr>
          <w:p w14:paraId="4AEB0D4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177321" w:rsidRPr="00075888" w14:paraId="25679C28" w14:textId="77777777" w:rsidTr="00D71E99">
        <w:trPr>
          <w:trHeight w:val="70"/>
        </w:trPr>
        <w:tc>
          <w:tcPr>
            <w:tcW w:w="1209" w:type="pct"/>
          </w:tcPr>
          <w:p w14:paraId="1A178651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43" w:type="pct"/>
          </w:tcPr>
          <w:p w14:paraId="1C44E371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47C4E316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  <w:tr w:rsidR="00177321" w:rsidRPr="00075888" w14:paraId="7B93A711" w14:textId="77777777" w:rsidTr="002122B8">
        <w:tc>
          <w:tcPr>
            <w:tcW w:w="1209" w:type="pct"/>
          </w:tcPr>
          <w:p w14:paraId="2C2370E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943" w:type="pct"/>
          </w:tcPr>
          <w:p w14:paraId="406A9D8F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สถาบันวิเคราะห์สภาวะภูมิอากาศและสภาพแวดล้อมแห่งเอเชียตะวันออกเฉียงใต้ (</w:t>
            </w:r>
            <w:r w:rsidRPr="00075888">
              <w:rPr>
                <w:rFonts w:ascii="TH SarabunPSK" w:hAnsi="TH SarabunPSK" w:cs="TH SarabunPSK"/>
                <w:sz w:val="28"/>
              </w:rPr>
              <w:t>START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) กรุงเทพมหานคร ประเทศไทย</w:t>
            </w:r>
          </w:p>
        </w:tc>
        <w:tc>
          <w:tcPr>
            <w:tcW w:w="848" w:type="pct"/>
          </w:tcPr>
          <w:p w14:paraId="56B3EC9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6A05A809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77321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337881A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วิทยาศาสตร์ประมง</w:t>
      </w:r>
    </w:p>
    <w:p w14:paraId="7BC05EC9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ชีววิทยาทางทะเล</w:t>
      </w:r>
    </w:p>
    <w:p w14:paraId="109A477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ชีววิทยาประมง</w:t>
      </w:r>
    </w:p>
    <w:p w14:paraId="7052DFE8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การประเมินและการฟื้นฟูทรัพยากรประมง</w:t>
      </w:r>
    </w:p>
    <w:p w14:paraId="6C54655E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การจัดการและฟื้นฟูทรัพยากรประมงและระบบนิเวศวิทยาชายฝั่ง</w:t>
      </w:r>
    </w:p>
    <w:p w14:paraId="43721C2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งานวิชาการรับใช้สังคม (</w:t>
      </w:r>
      <w:r w:rsidRPr="00C85DCE">
        <w:rPr>
          <w:rFonts w:ascii="TH SarabunPSK" w:eastAsia="Times New Roman" w:hAnsi="TH SarabunPSK" w:cs="TH SarabunPSK"/>
          <w:sz w:val="32"/>
          <w:szCs w:val="32"/>
        </w:rPr>
        <w:t>social engagement</w:t>
      </w: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A39BBE3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9410A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F0A42A0" w14:textId="30C3189D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2029"/>
        <w:gridCol w:w="2464"/>
        <w:gridCol w:w="960"/>
      </w:tblGrid>
      <w:tr w:rsidR="00177321" w:rsidRPr="0097740E" w14:paraId="6865ED35" w14:textId="77777777" w:rsidTr="002122B8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316F4E7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shd w:val="clear" w:color="auto" w:fill="D9D9D9" w:themeFill="background1" w:themeFillShade="D9"/>
          </w:tcPr>
          <w:p w14:paraId="3F7D0D1A" w14:textId="77777777" w:rsidR="00177321" w:rsidRPr="0097740E" w:rsidRDefault="00177321" w:rsidP="002122B8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14:paraId="54691B9F" w14:textId="77777777" w:rsidR="00177321" w:rsidRPr="0097740E" w:rsidRDefault="00177321" w:rsidP="002122B8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77321" w:rsidRPr="0097740E" w14:paraId="12E7C1FE" w14:textId="77777777" w:rsidTr="002122B8">
        <w:trPr>
          <w:trHeight w:val="340"/>
        </w:trPr>
        <w:tc>
          <w:tcPr>
            <w:tcW w:w="941" w:type="pct"/>
            <w:vMerge w:val="restart"/>
            <w:shd w:val="clear" w:color="auto" w:fill="auto"/>
          </w:tcPr>
          <w:p w14:paraId="46B8116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7AD8355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F79F344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337" w:type="pct"/>
            <w:shd w:val="clear" w:color="auto" w:fill="auto"/>
          </w:tcPr>
          <w:p w14:paraId="73181A7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323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7017FB4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177321" w:rsidRPr="0097740E" w14:paraId="77F5EC03" w14:textId="77777777" w:rsidTr="002122B8">
        <w:trPr>
          <w:trHeight w:val="206"/>
        </w:trPr>
        <w:tc>
          <w:tcPr>
            <w:tcW w:w="941" w:type="pct"/>
            <w:vMerge/>
            <w:shd w:val="clear" w:color="auto" w:fill="auto"/>
          </w:tcPr>
          <w:p w14:paraId="41C8F396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D0B940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FBCFD6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E27B00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6F3F3E9" w14:textId="77777777" w:rsidTr="002122B8">
        <w:trPr>
          <w:trHeight w:val="365"/>
        </w:trPr>
        <w:tc>
          <w:tcPr>
            <w:tcW w:w="941" w:type="pct"/>
            <w:vMerge/>
            <w:shd w:val="clear" w:color="auto" w:fill="auto"/>
          </w:tcPr>
          <w:p w14:paraId="60061E4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4D5A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5EDCE7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3DEEC669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6364F5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3656B9A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49F31CB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6A882D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522" w:type="pct"/>
            <w:vMerge/>
            <w:shd w:val="clear" w:color="auto" w:fill="auto"/>
          </w:tcPr>
          <w:p w14:paraId="53128261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517193C9" w14:textId="77777777" w:rsidTr="002122B8">
        <w:trPr>
          <w:trHeight w:val="93"/>
        </w:trPr>
        <w:tc>
          <w:tcPr>
            <w:tcW w:w="941" w:type="pct"/>
            <w:vMerge/>
            <w:shd w:val="clear" w:color="auto" w:fill="auto"/>
          </w:tcPr>
          <w:p w14:paraId="62486C0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9056E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1247E8A0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522" w:type="pct"/>
            <w:vMerge/>
            <w:shd w:val="clear" w:color="auto" w:fill="auto"/>
          </w:tcPr>
          <w:p w14:paraId="1299C43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D5F81C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4DDBEF0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CF2D8B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F9BFA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62-343 การฟื้นฟูทรัพยากรประมง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FB78278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52255F1" w14:textId="77777777" w:rsidTr="002122B8">
        <w:trPr>
          <w:trHeight w:val="402"/>
        </w:trPr>
        <w:tc>
          <w:tcPr>
            <w:tcW w:w="941" w:type="pct"/>
            <w:vMerge/>
            <w:shd w:val="clear" w:color="auto" w:fill="auto"/>
          </w:tcPr>
          <w:p w14:paraId="1FC3994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CE0A4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0A1175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62-101 ทักษะเบื้องต้นในการปฏิบัติงานทางทะเล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62EBF3C5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5DCED5A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500E33A8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43B8B92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2BA772C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5A23160B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3728A640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D98A12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97CC1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310D8F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10FFD37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199DB7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99379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1F72F64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70027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8CE6F9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20D18C01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1CDCEA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23DE52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5E27F9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2E562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C913189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07547A01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745931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70A1F5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6537F28F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F89183E" w14:textId="77777777" w:rsidTr="002122B8">
        <w:trPr>
          <w:trHeight w:val="231"/>
        </w:trPr>
        <w:tc>
          <w:tcPr>
            <w:tcW w:w="941" w:type="pct"/>
            <w:vMerge w:val="restart"/>
            <w:shd w:val="clear" w:color="auto" w:fill="auto"/>
          </w:tcPr>
          <w:p w14:paraId="352299E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F79D290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493A11C7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18D96E1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47A66460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7FEB3D8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6DFB9E2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871B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47DBA0E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44A5D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43DC82DF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738610E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63F29E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81E617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3B7B4B86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7449A47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3A0FF5F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182907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D4ADC6A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2BA226A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9D183C8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17AD93B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DE4B5B7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6204FF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899143B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2DBF0D7D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7FCCBCF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3AAE5EC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1C46FB1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4E7669A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68CD3F4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086E6B5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177321" w:rsidRPr="0097740E" w14:paraId="6D5E4CB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2F1B3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2F2C34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80A4E5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884609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354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9219836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AF23E48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296FEF7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194DBD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69D0D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7E15A45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4CD245A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231BE67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C8CCE8F" w14:textId="77777777" w:rsidR="00177321" w:rsidRDefault="00177321" w:rsidP="00177321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740E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545D3C6" w14:textId="77777777" w:rsidR="00177321" w:rsidRPr="0097740E" w:rsidRDefault="00177321" w:rsidP="0017732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ชีววิทยาบางประการและการจัดการประมงปลาเขือแดง บริเวณอ่าวปากพนัง จังหวัดนครศรีธรรมราช</w:t>
      </w:r>
    </w:p>
    <w:p w14:paraId="36FEB5B0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748F0B7E" w14:textId="7F2BFFCD" w:rsidR="00177321" w:rsidRPr="0097740E" w:rsidRDefault="00177321" w:rsidP="0017732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Kaewnean 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&amp; Janekitkan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(2006).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Some Biological aspects of burrowing goby, trypauchen vagina bloch &amp; schneider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1801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in Pak Panang Bay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Nakhon Si Thammarat Province, Thailand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In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Proceedings of the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44</w:t>
      </w:r>
      <w:r w:rsidRPr="0097740E">
        <w:rPr>
          <w:rFonts w:ascii="TH SarabunPSK" w:eastAsia="Times New Roman" w:hAnsi="TH SarabunPSK" w:cs="TH SarabunPSK"/>
          <w:sz w:val="32"/>
          <w:szCs w:val="32"/>
        </w:rPr>
        <w:t>th Technical Conference of Fisheries, Kasetsart University, Bangkok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CD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ROM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    </w:t>
      </w:r>
    </w:p>
    <w:p w14:paraId="30D7AA69" w14:textId="77777777" w:rsidR="00177321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2332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055641AD" w:rsidR="00177321" w:rsidRPr="009A193B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5.3 ชื่อวิทยานิพนธ์ ระดับปริญญาเอก</w:t>
      </w:r>
    </w:p>
    <w:p w14:paraId="398585D2" w14:textId="77777777" w:rsidR="00177321" w:rsidRPr="0097740E" w:rsidRDefault="00177321" w:rsidP="00177321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Restoration of the European flat oyster </w:t>
      </w:r>
      <w:r w:rsidRPr="0097740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Ostrea edulis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using elevated broodstock reefs </w:t>
      </w:r>
    </w:p>
    <w:p w14:paraId="7196D064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001C086" w14:textId="64423A37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Jensen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Collins 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.่่7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&amp;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Hauton C.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(2015).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Improvements in the physiological performance of european flat oysters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Linnaeus,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1758)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cultured on elevated reef structures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Implications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Aquaculture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444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41-48.</w:t>
      </w:r>
    </w:p>
    <w:p w14:paraId="10989930" w14:textId="79DDFAA7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Pioneer Epifaunal Assemblage Of An Oyster Shell Artificial Reef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: I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mplication For Oyster Restoration And Enhancement Of Local Biodiversity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6E72E48A">
        <w:rPr>
          <w:rFonts w:ascii="TH SarabunPSK" w:eastAsia="Times New Roman" w:hAnsi="TH SarabunPSK" w:cs="TH SarabunPSK"/>
          <w:sz w:val="32"/>
          <w:szCs w:val="32"/>
        </w:rPr>
        <w:t>pp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260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).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In Proceedings of the 44th Benthic Ecology Meeting, Quebec, Canada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0FD28711" w14:textId="794BF674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Deane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and 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Epifaunal Colonization On Shells Of Native European Oysters, Ostrea Edulis, and Non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-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native Pacific Oysters, Crassostrea Gigas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(pp.11-20).In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 Proceedings of the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RECIF Conference on artificial reefs, Oral presentation, at University of Caen, Normandy, France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711754A0" w14:textId="4F91C233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Artificial Oyster Reefs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: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Implication For Oyster Restoration And Biodiversity Enhancement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Presentation,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6E72E48A"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In Proceedings of the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IfLS conferences 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Global Change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Systems &amp; Cycles, University of Southampton, UK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97AD2A9" w14:textId="6A4E6325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2014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Effect of raised oyster reef structure upon physiological performance of European flat oysters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Oral presentation, Molluscan forum, Natural history museum, London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62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12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).</w:t>
      </w:r>
    </w:p>
    <w:p w14:paraId="34FF1C9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148A94" w14:textId="77777777" w:rsidR="00177321" w:rsidRPr="009A193B" w:rsidRDefault="00177321" w:rsidP="0017732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 ที่ตีพิมพ์เผยแพร่ในวารสาร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6153"/>
        <w:gridCol w:w="984"/>
        <w:gridCol w:w="1227"/>
      </w:tblGrid>
      <w:tr w:rsidR="00177321" w:rsidRPr="0097740E" w14:paraId="7579D1A5" w14:textId="77777777" w:rsidTr="6E72E48A">
        <w:trPr>
          <w:tblHeader/>
        </w:trPr>
        <w:tc>
          <w:tcPr>
            <w:tcW w:w="461" w:type="pct"/>
            <w:vMerge w:val="restart"/>
          </w:tcPr>
          <w:p w14:paraId="7F8A61FD" w14:textId="77777777" w:rsidR="00177321" w:rsidRPr="0097740E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39" w:type="pct"/>
            <w:vMerge w:val="restart"/>
          </w:tcPr>
          <w:p w14:paraId="76998E19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0" w:type="pct"/>
            <w:gridSpan w:val="2"/>
          </w:tcPr>
          <w:p w14:paraId="6D9C72A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77321" w:rsidRPr="0097740E" w14:paraId="1904E447" w14:textId="77777777" w:rsidTr="6E72E48A">
        <w:trPr>
          <w:tblHeader/>
        </w:trPr>
        <w:tc>
          <w:tcPr>
            <w:tcW w:w="461" w:type="pct"/>
            <w:vMerge/>
          </w:tcPr>
          <w:p w14:paraId="6D072C0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9" w:type="pct"/>
            <w:vMerge/>
          </w:tcPr>
          <w:p w14:paraId="48A21919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pct"/>
          </w:tcPr>
          <w:p w14:paraId="70D8C2E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65" w:type="pct"/>
          </w:tcPr>
          <w:p w14:paraId="3049794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77321" w:rsidRPr="0097740E" w14:paraId="4A461378" w14:textId="77777777" w:rsidTr="6E72E48A">
        <w:tc>
          <w:tcPr>
            <w:tcW w:w="461" w:type="pct"/>
          </w:tcPr>
          <w:p w14:paraId="649841B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39" w:type="pct"/>
          </w:tcPr>
          <w:p w14:paraId="558B2E98" w14:textId="5A1FDD92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851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Jutagate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2023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Evolution of the food web in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: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ten years of the blue swimming crab stocking program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Tropical life Science,25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hyperlink r:id="rId6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www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usm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my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tlsrEV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%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2034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-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21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pdf</w:t>
              </w:r>
            </w:hyperlink>
          </w:p>
        </w:tc>
        <w:tc>
          <w:tcPr>
            <w:tcW w:w="534" w:type="pct"/>
          </w:tcPr>
          <w:p w14:paraId="4AA77832" w14:textId="77777777" w:rsidR="00177321" w:rsidRPr="0097740E" w:rsidRDefault="00177321" w:rsidP="002122B8">
            <w:pPr>
              <w:ind w:left="-99" w:right="-321"/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</w:rPr>
              <w:t>2566</w:t>
            </w:r>
          </w:p>
        </w:tc>
        <w:tc>
          <w:tcPr>
            <w:tcW w:w="665" w:type="pct"/>
          </w:tcPr>
          <w:p w14:paraId="33A60E73" w14:textId="77777777" w:rsidR="00177321" w:rsidRPr="0097740E" w:rsidRDefault="00177321" w:rsidP="002122B8">
            <w:pPr>
              <w:ind w:left="-41" w:right="-262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</w:p>
        </w:tc>
      </w:tr>
      <w:tr w:rsidR="00177321" w:rsidRPr="0097740E" w14:paraId="391B01A2" w14:textId="77777777" w:rsidTr="6E72E48A">
        <w:tc>
          <w:tcPr>
            <w:tcW w:w="461" w:type="pct"/>
          </w:tcPr>
          <w:p w14:paraId="18F999B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39" w:type="pct"/>
          </w:tcPr>
          <w:p w14:paraId="2160956F" w14:textId="2F1FB12B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sz w:val="28"/>
              </w:rPr>
              <w:t>Jutagate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&amp; 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2022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Catch composition and risk assessment of two fishing gears used in small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scale fisheries of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PeerJ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10,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e13878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hyperlink r:id="rId7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https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doi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org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10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7717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peerj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13878</w:t>
              </w:r>
            </w:hyperlink>
          </w:p>
        </w:tc>
        <w:tc>
          <w:tcPr>
            <w:tcW w:w="534" w:type="pct"/>
          </w:tcPr>
          <w:p w14:paraId="3EBD962F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65" w:type="pct"/>
          </w:tcPr>
          <w:p w14:paraId="6A7B3B0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0347151B" w14:textId="77777777" w:rsidTr="6E72E48A">
        <w:tc>
          <w:tcPr>
            <w:tcW w:w="461" w:type="pct"/>
          </w:tcPr>
          <w:p w14:paraId="5FCD5EC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39" w:type="pct"/>
          </w:tcPr>
          <w:p w14:paraId="505F43E4" w14:textId="785E31E9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Rattanarat, J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Population dynamics of the caroun croaker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johnius carouna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Cuvier, 1830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 I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n coastal fishing ground in the middle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Walailak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Journal of Science and Technology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WJST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,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17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, 13709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https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://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doi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org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48048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wjst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13709</w:t>
            </w:r>
          </w:p>
        </w:tc>
        <w:tc>
          <w:tcPr>
            <w:tcW w:w="534" w:type="pct"/>
          </w:tcPr>
          <w:p w14:paraId="3A67920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65" w:type="pct"/>
          </w:tcPr>
          <w:p w14:paraId="6465B8B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51CFDD5C" w14:textId="77777777" w:rsidTr="6E72E48A">
        <w:tc>
          <w:tcPr>
            <w:tcW w:w="461" w:type="pct"/>
          </w:tcPr>
          <w:p w14:paraId="2598DEE6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39" w:type="pct"/>
          </w:tcPr>
          <w:p w14:paraId="2C0B1349" w14:textId="6959CC0B" w:rsidR="00177321" w:rsidRPr="0097740E" w:rsidRDefault="00177321" w:rsidP="6E72E48A">
            <w:pPr>
              <w:ind w:left="720" w:hanging="720"/>
              <w:rPr>
                <w:rFonts w:ascii="TH SarabunPSK" w:eastAsia="Times New Roman" w:hAnsi="TH SarabunPSK" w:cs="TH SarabunPSK"/>
                <w:sz w:val="28"/>
              </w:rPr>
            </w:pPr>
            <w:r w:rsidRPr="6E72E48A">
              <w:rPr>
                <w:rFonts w:ascii="TH SarabunPSK" w:eastAsia="Times New Roman" w:hAnsi="TH SarabunPSK" w:cs="TH SarabunPSK"/>
                <w:sz w:val="28"/>
              </w:rPr>
              <w:t>Ngamcharoen K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, Songrak A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, Wuthisuthimethavee S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, &amp; </w:t>
            </w:r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2021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).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SpecIes composition and index of relative importance of coastal species caught by collapsible crab trap in Ban Don Bay, Surat Thani province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journal of science and technology,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Ubon Tatchathani University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20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(1),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102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112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 </w:t>
            </w:r>
          </w:p>
        </w:tc>
        <w:tc>
          <w:tcPr>
            <w:tcW w:w="534" w:type="pct"/>
          </w:tcPr>
          <w:p w14:paraId="6C49877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65" w:type="pct"/>
          </w:tcPr>
          <w:p w14:paraId="7E87814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BD18F9B" w14:textId="77777777" w:rsidR="00177321" w:rsidRPr="009A193B" w:rsidRDefault="00177321" w:rsidP="00177321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0E6B8A8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4"/>
        <w:gridCol w:w="1830"/>
      </w:tblGrid>
      <w:tr w:rsidR="00177321" w:rsidRPr="0097740E" w14:paraId="186F520C" w14:textId="77777777" w:rsidTr="002122B8">
        <w:trPr>
          <w:trHeight w:val="163"/>
          <w:tblHeader/>
        </w:trPr>
        <w:tc>
          <w:tcPr>
            <w:tcW w:w="4007" w:type="pct"/>
          </w:tcPr>
          <w:p w14:paraId="05E5014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993" w:type="pct"/>
          </w:tcPr>
          <w:p w14:paraId="0247412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77321" w:rsidRPr="0097740E" w14:paraId="49772F50" w14:textId="77777777" w:rsidTr="002122B8">
        <w:tc>
          <w:tcPr>
            <w:tcW w:w="4007" w:type="pct"/>
          </w:tcPr>
          <w:p w14:paraId="1E61017E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รางวัลอาจารย์ดีเด่นด้านการให้บริการวิชาการแก่สังคม รางวัลเกียรติยศแห่งความสำเร็จ สออ.ประเทศไทย ปี 2565  (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ASAIHL THAILAND OUTSTANDING ACHIEVEMENT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2022) </w:t>
            </w:r>
          </w:p>
        </w:tc>
        <w:tc>
          <w:tcPr>
            <w:tcW w:w="993" w:type="pct"/>
          </w:tcPr>
          <w:p w14:paraId="1072DA9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468E4116" w14:textId="77777777" w:rsidTr="002122B8">
        <w:tc>
          <w:tcPr>
            <w:tcW w:w="4007" w:type="pct"/>
          </w:tcPr>
          <w:p w14:paraId="4504F3F8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รางวัลอาจารย์ดีเด่น ด้านวิชาการรับใช้สังคม มหาวิทยาลัยวลัยลักษณ์ ปี 2565 </w:t>
            </w:r>
          </w:p>
        </w:tc>
        <w:tc>
          <w:tcPr>
            <w:tcW w:w="993" w:type="pct"/>
          </w:tcPr>
          <w:p w14:paraId="49183AF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7B9DFB5D" w14:textId="77777777" w:rsidTr="002122B8">
        <w:tc>
          <w:tcPr>
            <w:tcW w:w="4007" w:type="pct"/>
          </w:tcPr>
          <w:p w14:paraId="2A09CD0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รางวัลชนะเลิศอันดับ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AIC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นวัตกรรมเพื่อพัฒนาเศรษฐกิจของประเทศ </w:t>
            </w:r>
          </w:p>
        </w:tc>
        <w:tc>
          <w:tcPr>
            <w:tcW w:w="993" w:type="pct"/>
          </w:tcPr>
          <w:p w14:paraId="3D1CD35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063B6C20" w14:textId="77777777" w:rsidTr="002122B8">
        <w:tc>
          <w:tcPr>
            <w:tcW w:w="4007" w:type="pct"/>
          </w:tcPr>
          <w:p w14:paraId="2532AC74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 (ระดับประเทศ)  ประเภทศูนย์เรียนรู้ธนาคารปูม้าชุมชน </w:t>
            </w:r>
          </w:p>
        </w:tc>
        <w:tc>
          <w:tcPr>
            <w:tcW w:w="993" w:type="pct"/>
          </w:tcPr>
          <w:p w14:paraId="6BDC13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</w:tr>
      <w:tr w:rsidR="00177321" w:rsidRPr="0097740E" w14:paraId="56B2A91F" w14:textId="77777777" w:rsidTr="002122B8">
        <w:tc>
          <w:tcPr>
            <w:tcW w:w="4007" w:type="pct"/>
          </w:tcPr>
          <w:p w14:paraId="7D536EF3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รางวัลชนะเลิศ (ระดับประเทศ) ประเภทธนาคารปูม้าชุมชนเดิมที่มีการดำเนินงานอย่างต่อเนื่อง</w:t>
            </w:r>
          </w:p>
        </w:tc>
        <w:tc>
          <w:tcPr>
            <w:tcW w:w="993" w:type="pct"/>
          </w:tcPr>
          <w:p w14:paraId="176F3BC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EB75E91" w14:textId="77777777" w:rsidTr="002122B8">
        <w:tc>
          <w:tcPr>
            <w:tcW w:w="4007" w:type="pct"/>
          </w:tcPr>
          <w:p w14:paraId="4AD477DF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รางวัลรองชนะเลิศอันดับที่ 1 (ระดับประเทศ) ประเภทธนาคารปูม้าชุมชนที่จัดขึ้นใหม่</w:t>
            </w:r>
          </w:p>
        </w:tc>
        <w:tc>
          <w:tcPr>
            <w:tcW w:w="993" w:type="pct"/>
          </w:tcPr>
          <w:p w14:paraId="5EE160E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A9E94BF" w14:textId="77777777" w:rsidTr="002122B8">
        <w:tc>
          <w:tcPr>
            <w:tcW w:w="4007" w:type="pct"/>
          </w:tcPr>
          <w:p w14:paraId="2341FB7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sz w:val="28"/>
              </w:rPr>
              <w:t>PR156532</w:t>
            </w:r>
          </w:p>
        </w:tc>
        <w:tc>
          <w:tcPr>
            <w:tcW w:w="993" w:type="pct"/>
          </w:tcPr>
          <w:p w14:paraId="5B5AB99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</w:tr>
      <w:tr w:rsidR="00177321" w:rsidRPr="0097740E" w14:paraId="087719F3" w14:textId="77777777" w:rsidTr="002122B8">
        <w:tc>
          <w:tcPr>
            <w:tcW w:w="4007" w:type="pct"/>
          </w:tcPr>
          <w:p w14:paraId="7D9D45A7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รางวัลผู้มีผลการทำงานประจำปีระดับ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Premium </w:t>
            </w:r>
          </w:p>
        </w:tc>
        <w:tc>
          <w:tcPr>
            <w:tcW w:w="993" w:type="pct"/>
          </w:tcPr>
          <w:p w14:paraId="4F29B8B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70D1135D" w14:textId="77777777" w:rsidTr="002122B8">
        <w:tc>
          <w:tcPr>
            <w:tcW w:w="4007" w:type="pct"/>
          </w:tcPr>
          <w:p w14:paraId="1A2B269D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The great supporter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National Youth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 Innovation Fair 2020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2E5B4046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ผู้สนับสนุนเยาวชนให้มีผลงานสร้างสรรค์เพื่อแก้ปัญหาพลังงานและสิ่งแวดล้อมอย่างยั่งยืน </w:t>
            </w:r>
          </w:p>
        </w:tc>
        <w:tc>
          <w:tcPr>
            <w:tcW w:w="993" w:type="pct"/>
          </w:tcPr>
          <w:p w14:paraId="13953512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49817A5E" w14:textId="77777777" w:rsidTr="002122B8">
        <w:tc>
          <w:tcPr>
            <w:tcW w:w="4007" w:type="pct"/>
          </w:tcPr>
          <w:p w14:paraId="59B5CFE1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รางวัลผลงานวิชาการรับใช้สังคมดีเด่น สาขาวิทยาศาสตร์และเทคโนโลยี </w:t>
            </w:r>
          </w:p>
        </w:tc>
        <w:tc>
          <w:tcPr>
            <w:tcW w:w="993" w:type="pct"/>
          </w:tcPr>
          <w:p w14:paraId="3A8C3C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382234A" w14:textId="77777777" w:rsidTr="002122B8">
        <w:tc>
          <w:tcPr>
            <w:tcW w:w="4007" w:type="pct"/>
          </w:tcPr>
          <w:p w14:paraId="3118BEFF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รางวัลผลงานสร้างสรรค์ชนะเลิศอันดับหนึ่ง 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Thailand Research and Innovation</w:t>
            </w:r>
          </w:p>
        </w:tc>
        <w:tc>
          <w:tcPr>
            <w:tcW w:w="993" w:type="pct"/>
          </w:tcPr>
          <w:p w14:paraId="454170D0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20D7644" w14:textId="77777777" w:rsidTr="002122B8">
        <w:tc>
          <w:tcPr>
            <w:tcW w:w="4007" w:type="pct"/>
          </w:tcPr>
          <w:p w14:paraId="3C941CB9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รางวัลผลงานวิจัยเด่น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Fishery improvement project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กรณีศึกษาปูม้า</w:t>
            </w:r>
          </w:p>
        </w:tc>
        <w:tc>
          <w:tcPr>
            <w:tcW w:w="993" w:type="pct"/>
          </w:tcPr>
          <w:p w14:paraId="64C4EB2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238601F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36E"/>
    <w:multiLevelType w:val="multilevel"/>
    <w:tmpl w:val="807ED3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243832CC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4C21"/>
    <w:multiLevelType w:val="hybridMultilevel"/>
    <w:tmpl w:val="FC2CC164"/>
    <w:lvl w:ilvl="0" w:tplc="B3DA481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A06C1"/>
    <w:multiLevelType w:val="hybridMultilevel"/>
    <w:tmpl w:val="2BE07E72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57326"/>
    <w:multiLevelType w:val="hybridMultilevel"/>
    <w:tmpl w:val="490473BC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E6B11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387183">
    <w:abstractNumId w:val="3"/>
  </w:num>
  <w:num w:numId="2" w16cid:durableId="1331642600">
    <w:abstractNumId w:val="0"/>
  </w:num>
  <w:num w:numId="3" w16cid:durableId="610824754">
    <w:abstractNumId w:val="4"/>
  </w:num>
  <w:num w:numId="4" w16cid:durableId="1418138393">
    <w:abstractNumId w:val="1"/>
  </w:num>
  <w:num w:numId="5" w16cid:durableId="1372420933">
    <w:abstractNumId w:val="5"/>
  </w:num>
  <w:num w:numId="6" w16cid:durableId="768157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2"/>
    <w:rsid w:val="00177321"/>
    <w:rsid w:val="00C3416F"/>
    <w:rsid w:val="00D71E99"/>
    <w:rsid w:val="00DD09DC"/>
    <w:rsid w:val="00F8788B"/>
    <w:rsid w:val="00F97D44"/>
    <w:rsid w:val="00FC3F32"/>
    <w:rsid w:val="6E72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D8E6"/>
  <w15:chartTrackingRefBased/>
  <w15:docId w15:val="{73B936FC-38C5-4403-B7A0-9ACA3AD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2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32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7732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77321"/>
    <w:rPr>
      <w:kern w:val="2"/>
      <w:lang w:val="en-US"/>
      <w14:ligatures w14:val="standardContextual"/>
    </w:rPr>
  </w:style>
  <w:style w:type="character" w:styleId="a6">
    <w:name w:val="Hyperlink"/>
    <w:basedOn w:val="a0"/>
    <w:uiPriority w:val="99"/>
    <w:unhideWhenUsed/>
    <w:rsid w:val="00177321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qFormat/>
    <w:rsid w:val="0017732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17732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7717/peerj.13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sr.usm.my/tlsrEV/TLSR%2034-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2025-07-24T04:24:00Z</dcterms:created>
  <dcterms:modified xsi:type="dcterms:W3CDTF">2025-07-24T04:24:00Z</dcterms:modified>
</cp:coreProperties>
</file>