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238D79B8" wp14:editId="05834D62">
            <wp:extent cx="501650" cy="779145"/>
            <wp:effectExtent l="0" t="0" r="0" b="0"/>
            <wp:docPr id="63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1053BCC6" w14:textId="77777777" w:rsidR="00936B77" w:rsidRPr="00936B77" w:rsidRDefault="00936B77" w:rsidP="00C12F64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ดร.ปาจรีย์ ศักดิเศรษฐ์</w:t>
      </w:r>
    </w:p>
    <w:p w14:paraId="0A37501D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86"/>
        <w:gridCol w:w="985"/>
        <w:gridCol w:w="2155"/>
      </w:tblGrid>
      <w:tr w:rsidR="00936B77" w:rsidRPr="00936B77" w14:paraId="2168125B" w14:textId="77777777" w:rsidTr="00484006">
        <w:tc>
          <w:tcPr>
            <w:tcW w:w="5886" w:type="dxa"/>
          </w:tcPr>
          <w:p w14:paraId="536E17AC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5" w:type="dxa"/>
          </w:tcPr>
          <w:p w14:paraId="37E86EF2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55" w:type="dxa"/>
          </w:tcPr>
          <w:p w14:paraId="00E8CD28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086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397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5661</w:t>
            </w:r>
          </w:p>
          <w:p w14:paraId="5829939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672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814</w:t>
            </w:r>
          </w:p>
          <w:p w14:paraId="4C830C18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pajaree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2982"/>
        <w:gridCol w:w="4241"/>
        <w:gridCol w:w="990"/>
      </w:tblGrid>
      <w:tr w:rsidR="00936B77" w:rsidRPr="00936B77" w14:paraId="187A4588" w14:textId="77777777" w:rsidTr="00484006">
        <w:tc>
          <w:tcPr>
            <w:tcW w:w="803" w:type="dxa"/>
            <w:shd w:val="clear" w:color="auto" w:fill="D9D9D9"/>
          </w:tcPr>
          <w:p w14:paraId="3D8CD3D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982" w:type="dxa"/>
            <w:shd w:val="clear" w:color="auto" w:fill="D9D9D9"/>
          </w:tcPr>
          <w:p w14:paraId="24C454D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4241" w:type="dxa"/>
            <w:shd w:val="clear" w:color="auto" w:fill="D9D9D9"/>
          </w:tcPr>
          <w:p w14:paraId="2DD77DB0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0" w:type="dxa"/>
            <w:shd w:val="clear" w:color="auto" w:fill="D9D9D9"/>
          </w:tcPr>
          <w:p w14:paraId="04453AA5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3042975A" w14:textId="77777777" w:rsidTr="00484006">
        <w:tc>
          <w:tcPr>
            <w:tcW w:w="803" w:type="dxa"/>
          </w:tcPr>
          <w:p w14:paraId="16D546E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982" w:type="dxa"/>
          </w:tcPr>
          <w:p w14:paraId="5BC6CB1B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</w:t>
            </w:r>
          </w:p>
        </w:tc>
        <w:tc>
          <w:tcPr>
            <w:tcW w:w="4241" w:type="dxa"/>
          </w:tcPr>
          <w:p w14:paraId="5CDE0DEF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Josai University, Japan</w:t>
            </w:r>
          </w:p>
        </w:tc>
        <w:tc>
          <w:tcPr>
            <w:tcW w:w="990" w:type="dxa"/>
          </w:tcPr>
          <w:p w14:paraId="06DD658C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936B77" w:rsidRPr="00936B77" w14:paraId="4588B639" w14:textId="77777777" w:rsidTr="00484006">
        <w:trPr>
          <w:trHeight w:val="121"/>
        </w:trPr>
        <w:tc>
          <w:tcPr>
            <w:tcW w:w="803" w:type="dxa"/>
          </w:tcPr>
          <w:p w14:paraId="7FACBAB3" w14:textId="77777777" w:rsidR="00936B77" w:rsidRPr="00936B77" w:rsidRDefault="00936B77" w:rsidP="00C12F64">
            <w:pPr>
              <w:tabs>
                <w:tab w:val="left" w:pos="360"/>
                <w:tab w:val="left" w:pos="840"/>
                <w:tab w:val="left" w:pos="1680"/>
              </w:tabs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2982" w:type="dxa"/>
          </w:tcPr>
          <w:p w14:paraId="4CD4A81E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4241" w:type="dxa"/>
          </w:tcPr>
          <w:p w14:paraId="0D26D21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90" w:type="dxa"/>
          </w:tcPr>
          <w:p w14:paraId="26BD8C2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  <w:tr w:rsidR="00936B77" w:rsidRPr="00936B77" w14:paraId="510DE7C1" w14:textId="77777777" w:rsidTr="00484006">
        <w:trPr>
          <w:trHeight w:val="255"/>
        </w:trPr>
        <w:tc>
          <w:tcPr>
            <w:tcW w:w="803" w:type="dxa"/>
          </w:tcPr>
          <w:p w14:paraId="67A7708F" w14:textId="77777777" w:rsidR="00936B77" w:rsidRPr="00936B77" w:rsidRDefault="00936B77" w:rsidP="00C12F64">
            <w:pPr>
              <w:tabs>
                <w:tab w:val="left" w:pos="360"/>
                <w:tab w:val="left" w:pos="840"/>
                <w:tab w:val="left" w:pos="1680"/>
              </w:tabs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982" w:type="dxa"/>
          </w:tcPr>
          <w:p w14:paraId="68D467A6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เภสัชศาสตร์ </w:t>
            </w:r>
          </w:p>
        </w:tc>
        <w:tc>
          <w:tcPr>
            <w:tcW w:w="4241" w:type="dxa"/>
          </w:tcPr>
          <w:p w14:paraId="7C5E6371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90" w:type="dxa"/>
          </w:tcPr>
          <w:p w14:paraId="55EC8363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2550</w:t>
            </w:r>
          </w:p>
        </w:tc>
      </w:tr>
    </w:tbl>
    <w:p w14:paraId="02EB378F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3"/>
        <w:gridCol w:w="3718"/>
        <w:gridCol w:w="1605"/>
      </w:tblGrid>
      <w:tr w:rsidR="00936B77" w:rsidRPr="00936B77" w14:paraId="0B357D1B" w14:textId="77777777" w:rsidTr="00484006">
        <w:tc>
          <w:tcPr>
            <w:tcW w:w="3693" w:type="dxa"/>
            <w:shd w:val="clear" w:color="auto" w:fill="D9D9D9"/>
          </w:tcPr>
          <w:p w14:paraId="3BED2E51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718" w:type="dxa"/>
            <w:shd w:val="clear" w:color="auto" w:fill="D9D9D9"/>
          </w:tcPr>
          <w:p w14:paraId="6502AB3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605" w:type="dxa"/>
            <w:shd w:val="clear" w:color="auto" w:fill="D9D9D9"/>
          </w:tcPr>
          <w:p w14:paraId="5013E8A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40D917F6" w14:textId="77777777" w:rsidTr="00484006">
        <w:tc>
          <w:tcPr>
            <w:tcW w:w="3693" w:type="dxa"/>
          </w:tcPr>
          <w:p w14:paraId="10033C36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รักษาการแทนผู้ช่วยคณบดีฝ่ายวิเทศสัมพันธ์</w:t>
            </w:r>
          </w:p>
        </w:tc>
        <w:tc>
          <w:tcPr>
            <w:tcW w:w="3718" w:type="dxa"/>
          </w:tcPr>
          <w:p w14:paraId="49287214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125C0F5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936B77" w:rsidRPr="00936B77" w14:paraId="685691D8" w14:textId="77777777" w:rsidTr="00484006">
        <w:tc>
          <w:tcPr>
            <w:tcW w:w="3693" w:type="dxa"/>
          </w:tcPr>
          <w:p w14:paraId="02A156E2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718" w:type="dxa"/>
          </w:tcPr>
          <w:p w14:paraId="4E07EB9A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353B54D0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936B77" w:rsidRPr="00936B77" w14:paraId="767C5901" w14:textId="77777777" w:rsidTr="00484006">
        <w:tc>
          <w:tcPr>
            <w:tcW w:w="3693" w:type="dxa"/>
          </w:tcPr>
          <w:p w14:paraId="1A178651" w14:textId="77777777" w:rsidR="00936B77" w:rsidRPr="00936B77" w:rsidRDefault="00936B77" w:rsidP="00C12F64">
            <w:pPr>
              <w:tabs>
                <w:tab w:val="left" w:pos="1485"/>
              </w:tabs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3718" w:type="dxa"/>
          </w:tcPr>
          <w:p w14:paraId="4DA940B1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605" w:type="dxa"/>
          </w:tcPr>
          <w:p w14:paraId="0F3F397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1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1E64EF1E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2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6C29DAFD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3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Cosmetic Sciences </w:t>
      </w:r>
    </w:p>
    <w:p w14:paraId="5A39BBE3" w14:textId="77777777" w:rsidR="00936B77" w:rsidRPr="00936B77" w:rsidRDefault="00936B77" w:rsidP="00C12F64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1851"/>
        <w:gridCol w:w="1955"/>
        <w:gridCol w:w="2298"/>
        <w:gridCol w:w="1224"/>
      </w:tblGrid>
      <w:tr w:rsidR="00936B77" w:rsidRPr="00936B77" w14:paraId="6865ED35" w14:textId="77777777" w:rsidTr="00936B77">
        <w:trPr>
          <w:trHeight w:val="259"/>
          <w:tblHeader/>
        </w:trPr>
        <w:tc>
          <w:tcPr>
            <w:tcW w:w="1688" w:type="dxa"/>
            <w:shd w:val="clear" w:color="auto" w:fill="D9D9D9"/>
          </w:tcPr>
          <w:p w14:paraId="183CA32A" w14:textId="77777777" w:rsidR="00936B77" w:rsidRPr="00936B77" w:rsidRDefault="00936B77" w:rsidP="00C12F64">
            <w:pPr>
              <w:spacing w:after="0" w:line="276" w:lineRule="auto"/>
              <w:ind w:left="-142" w:right="-106" w:firstLine="170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851" w:type="dxa"/>
            <w:shd w:val="clear" w:color="auto" w:fill="D9D9D9"/>
          </w:tcPr>
          <w:p w14:paraId="63B3DD76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955" w:type="dxa"/>
            <w:shd w:val="clear" w:color="auto" w:fill="D9D9D9"/>
          </w:tcPr>
          <w:p w14:paraId="316F4E78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298" w:type="dxa"/>
            <w:shd w:val="clear" w:color="auto" w:fill="D9D9D9"/>
          </w:tcPr>
          <w:p w14:paraId="3F7D0D1A" w14:textId="77777777" w:rsidR="00936B77" w:rsidRPr="00936B77" w:rsidRDefault="00936B77" w:rsidP="00C12F64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936B77" w:rsidRPr="00936B77" w:rsidRDefault="00936B77" w:rsidP="00C12F64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36B77" w:rsidRPr="00936B77" w14:paraId="5107DDC2" w14:textId="77777777" w:rsidTr="00936B77">
        <w:tc>
          <w:tcPr>
            <w:tcW w:w="1688" w:type="dxa"/>
            <w:shd w:val="clear" w:color="auto" w:fill="auto"/>
          </w:tcPr>
          <w:p w14:paraId="2263DC05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851" w:type="dxa"/>
            <w:shd w:val="clear" w:color="auto" w:fill="auto"/>
          </w:tcPr>
          <w:p w14:paraId="1F24C249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สำนักวิชาเภสัชศาสตร์/ สาขาเภสัชกรรมอุตสาหการ</w:t>
            </w:r>
          </w:p>
        </w:tc>
        <w:tc>
          <w:tcPr>
            <w:tcW w:w="1955" w:type="dxa"/>
            <w:shd w:val="clear" w:color="auto" w:fill="auto"/>
          </w:tcPr>
          <w:p w14:paraId="36471C62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6109709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160775C0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210 Physical Pharmacy</w:t>
            </w:r>
          </w:p>
          <w:p w14:paraId="0E41C63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311 Pharmaceutical Technology I</w:t>
            </w:r>
          </w:p>
          <w:p w14:paraId="11CA6DDC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312 Pharmaceutical Technology Laboratory I</w:t>
            </w:r>
          </w:p>
          <w:p w14:paraId="02CE4D8B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313 Pharmaceutical Technology II</w:t>
            </w:r>
          </w:p>
          <w:p w14:paraId="1582C97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314 Pharmaceutical Technology Laboratory II</w:t>
            </w:r>
          </w:p>
          <w:p w14:paraId="3AF9CB7F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315 Pharmaceutical Technology III</w:t>
            </w:r>
          </w:p>
          <w:p w14:paraId="2A8E382D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316 Pharmaceutical Technology Laboratory III</w:t>
            </w:r>
          </w:p>
          <w:p w14:paraId="70A23E5A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410 Pharmaceutical Technology IV</w:t>
            </w:r>
          </w:p>
          <w:p w14:paraId="3FAB97B7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411 Pharmaceutical Technology Laboratory IV</w:t>
            </w:r>
          </w:p>
          <w:p w14:paraId="1B24D416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413 Novel Drug Delivery Systems</w:t>
            </w:r>
          </w:p>
          <w:p w14:paraId="059C5C77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55465325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68A599C3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513 Advanced Pharmaceutical Technology</w:t>
            </w:r>
          </w:p>
          <w:p w14:paraId="6953DDFD" w14:textId="77777777" w:rsidR="00936B77" w:rsidRPr="00936B77" w:rsidRDefault="00936B77" w:rsidP="00C12F64">
            <w:pPr>
              <w:spacing w:after="0" w:line="276" w:lineRule="auto"/>
              <w:ind w:left="32" w:right="-162" w:hanging="3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514 Cosmetic Sciences  PHA62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515 Cosmetic Sciences Laboratory</w:t>
            </w:r>
          </w:p>
        </w:tc>
        <w:tc>
          <w:tcPr>
            <w:tcW w:w="1224" w:type="dxa"/>
            <w:shd w:val="clear" w:color="auto" w:fill="auto"/>
          </w:tcPr>
          <w:p w14:paraId="7F75F621" w14:textId="77777777" w:rsidR="00936B77" w:rsidRPr="00936B77" w:rsidRDefault="00936B77" w:rsidP="00C12F64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36B77" w:rsidRPr="00936B77" w14:paraId="5F3AE250" w14:textId="77777777" w:rsidTr="00936B77">
        <w:tc>
          <w:tcPr>
            <w:tcW w:w="1688" w:type="dxa"/>
            <w:shd w:val="clear" w:color="auto" w:fill="auto"/>
          </w:tcPr>
          <w:p w14:paraId="46B8116C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  <w:p w14:paraId="41C8F396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74894926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  <w:p w14:paraId="72A3D3EC" w14:textId="77777777" w:rsidR="00936B77" w:rsidRPr="00936B77" w:rsidRDefault="00936B77" w:rsidP="00C12F64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4B700881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หลักสูตรวิทยาศาสตรมหาบัณฑิต สาขานวัตกรรมยาและเครื่องสำอาง หลักสูตรนานาชาติ </w:t>
            </w:r>
          </w:p>
          <w:p w14:paraId="0DCB9387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(หลักสูตรใหม่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0CCEE817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790619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D0B940D" w14:textId="77777777" w:rsidR="00936B77" w:rsidRPr="00936B77" w:rsidRDefault="00936B77" w:rsidP="00C12F64">
            <w:pPr>
              <w:spacing w:after="0" w:line="276" w:lineRule="auto"/>
              <w:ind w:left="-142"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252966CD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36B77" w:rsidRPr="00936B77" w14:paraId="698D4278" w14:textId="77777777" w:rsidTr="00936B77">
        <w:tc>
          <w:tcPr>
            <w:tcW w:w="1688" w:type="dxa"/>
            <w:shd w:val="clear" w:color="auto" w:fill="auto"/>
          </w:tcPr>
          <w:p w14:paraId="500E33A8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  <w:p w14:paraId="0E27B00A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7471A041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  <w:p w14:paraId="60061E4C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2508A82C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หลักสูตรปรัชญาดุษฎีบัณฑิต</w:t>
            </w:r>
          </w:p>
          <w:p w14:paraId="3628D2A2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สาขานวัตกรรมยาและเครื่องสำอาง หลักสูตรนานาชาติ </w:t>
            </w:r>
          </w:p>
          <w:p w14:paraId="265E9B4E" w14:textId="77777777" w:rsidR="00936B77" w:rsidRPr="00936B77" w:rsidRDefault="00936B77" w:rsidP="00C12F64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(หลักสูตรปรับปรุง พ.ศ.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08FC86F8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801E Seminar in Drug and Cosmetics I</w:t>
            </w:r>
          </w:p>
          <w:p w14:paraId="22A3A7A6" w14:textId="77777777" w:rsidR="00936B77" w:rsidRPr="00936B77" w:rsidRDefault="00936B77" w:rsidP="00C12F64">
            <w:pPr>
              <w:spacing w:after="0" w:line="276" w:lineRule="auto"/>
              <w:ind w:right="-10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>802E Seminar in Drug and Cosmetics II</w:t>
            </w:r>
          </w:p>
        </w:tc>
        <w:tc>
          <w:tcPr>
            <w:tcW w:w="1224" w:type="dxa"/>
            <w:shd w:val="clear" w:color="auto" w:fill="auto"/>
          </w:tcPr>
          <w:p w14:paraId="3ABA72EB" w14:textId="77777777" w:rsidR="00936B77" w:rsidRPr="00936B77" w:rsidRDefault="00936B77" w:rsidP="00C12F64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36B7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2565 </w:t>
            </w:r>
            <w:r w:rsidRPr="00936B7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44EAFD9C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36B77" w:rsidRP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5F21CEFC" w14:textId="77777777" w:rsidR="00936B77" w:rsidRPr="00936B77" w:rsidRDefault="00936B77" w:rsidP="00C12F64">
      <w:pPr>
        <w:numPr>
          <w:ilvl w:val="0"/>
          <w:numId w:val="4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Formulation development of ethosome containing indomethacin for transdermal delivery</w:t>
      </w:r>
    </w:p>
    <w:p w14:paraId="4B94D5A5" w14:textId="77777777" w:rsid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A78E73" w14:textId="77777777" w:rsidR="00936B77" w:rsidRP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1A33E5C8" w14:textId="77777777" w:rsidR="00936B77" w:rsidRPr="00936B77" w:rsidRDefault="00936B77" w:rsidP="00C12F64">
      <w:pPr>
        <w:numPr>
          <w:ilvl w:val="0"/>
          <w:numId w:val="3"/>
        </w:numPr>
        <w:spacing w:after="0" w:line="276" w:lineRule="auto"/>
        <w:ind w:left="709" w:hanging="360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Amnuaikit, 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Pichayakorn, W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Pinsuwan, 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2019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Formulation</w:t>
      </w:r>
    </w:p>
    <w:p w14:paraId="6EBB05C4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development of ethosomes containing indomethacin for transdermal delivery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D17ECCE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Drug Delivery Science and Technology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52, 760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768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569EE9D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lastRenderedPageBreak/>
        <w:t>https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936B77">
        <w:rPr>
          <w:rFonts w:ascii="TH SarabunPSK" w:eastAsia="TH Sarabun PSK" w:hAnsi="TH SarabunPSK" w:cs="TH SarabunPSK"/>
          <w:sz w:val="32"/>
          <w:szCs w:val="32"/>
        </w:rPr>
        <w:t>doi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org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936B77">
        <w:rPr>
          <w:rFonts w:ascii="TH SarabunPSK" w:eastAsia="TH Sarabun PSK" w:hAnsi="TH SarabunPSK" w:cs="TH SarabunPSK"/>
          <w:sz w:val="32"/>
          <w:szCs w:val="32"/>
        </w:rPr>
        <w:t>10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1016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936B77">
        <w:rPr>
          <w:rFonts w:ascii="TH SarabunPSK" w:eastAsia="TH Sarabun PSK" w:hAnsi="TH SarabunPSK" w:cs="TH SarabunPSK"/>
          <w:sz w:val="32"/>
          <w:szCs w:val="32"/>
        </w:rPr>
        <w:t>j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jddst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2019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05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048</w:t>
      </w:r>
    </w:p>
    <w:p w14:paraId="3DEEC669" w14:textId="77777777" w:rsid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36B77" w:rsidRPr="00936B77" w:rsidRDefault="00936B77" w:rsidP="00C12F64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1ABAA01" w14:textId="77777777" w:rsidR="00936B77" w:rsidRPr="00936B77" w:rsidRDefault="00936B77" w:rsidP="00C12F64">
      <w:pPr>
        <w:numPr>
          <w:ilvl w:val="0"/>
          <w:numId w:val="2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Potential of vesicles to optimize topically applied formulations with enhanced skin penetration of drugs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656B9AB" w14:textId="77777777" w:rsid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36FE54" w14:textId="77777777" w:rsidR="00936B77" w:rsidRPr="00936B77" w:rsidRDefault="00936B77" w:rsidP="00C12F64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4237193D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Okada, A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Selection of phospholipids to design liposome preparation with high skin penetration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enhancing effect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Drug Delivery Science and Technology</w:t>
      </w:r>
      <w:r w:rsidRPr="00936B77">
        <w:rPr>
          <w:rFonts w:ascii="TH SarabunPSK" w:eastAsia="TH Sarabun PSK" w:hAnsi="TH SarabunPSK" w:cs="TH SarabunPSK"/>
          <w:sz w:val="32"/>
          <w:szCs w:val="32"/>
        </w:rPr>
        <w:t>,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44,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 58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64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6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1016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j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jddst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2017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11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021</w:t>
        </w:r>
      </w:hyperlink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163A50BD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Potential of stratum corneum lipid</w:t>
      </w:r>
    </w:p>
    <w:p w14:paraId="7109B5DC" w14:textId="77777777" w:rsidR="00936B77" w:rsidRPr="00936B77" w:rsidRDefault="00936B77" w:rsidP="4D6F9DC1">
      <w:pPr>
        <w:spacing w:after="0" w:line="276" w:lineRule="auto"/>
        <w:ind w:left="709"/>
        <w:rPr>
          <w:rFonts w:ascii="TH SarabunPSK" w:eastAsia="TH Sarabun PSK" w:hAnsi="TH SarabunPSK" w:cs="TH SarabunPSK"/>
          <w:i/>
          <w:iCs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liposome 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36B77">
        <w:rPr>
          <w:rFonts w:ascii="TH SarabunPSK" w:eastAsia="TH Sarabun PSK" w:hAnsi="TH SarabunPSK" w:cs="TH SarabunPSK"/>
          <w:sz w:val="32"/>
          <w:szCs w:val="32"/>
        </w:rPr>
        <w:t>SCLL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36B77">
        <w:rPr>
          <w:rFonts w:ascii="TH SarabunPSK" w:eastAsia="TH Sarabun PSK" w:hAnsi="TH SarabunPSK" w:cs="TH SarabunPSK"/>
          <w:sz w:val="32"/>
          <w:szCs w:val="32"/>
        </w:rPr>
        <w:t>for screening of chemical skin penetration enhancers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4D6F9DC1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4D6F9DC1">
        <w:rPr>
          <w:rFonts w:ascii="TH SarabunPSK" w:eastAsia="TH Sarabun PSK" w:hAnsi="TH SarabunPSK" w:cs="TH SarabunPSK"/>
          <w:i/>
          <w:iCs/>
          <w:sz w:val="32"/>
          <w:szCs w:val="32"/>
        </w:rPr>
        <w:t>Chemical</w:t>
      </w:r>
    </w:p>
    <w:p w14:paraId="69904847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and Pharmaceutical Bulletin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65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776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783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7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1248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cpb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c17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-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00269</w:t>
        </w:r>
      </w:hyperlink>
    </w:p>
    <w:p w14:paraId="2F27D6E1" w14:textId="77777777" w:rsidR="00936B77" w:rsidRPr="00936B77" w:rsidRDefault="00936B77" w:rsidP="00C12F64">
      <w:pPr>
        <w:numPr>
          <w:ilvl w:val="0"/>
          <w:numId w:val="1"/>
        </w:num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Sakdiset, P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Kitao, Y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Todo, H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sz w:val="32"/>
          <w:szCs w:val="32"/>
        </w:rPr>
        <w:t>, &amp; Sugibayashi, K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36B77">
        <w:rPr>
          <w:rFonts w:ascii="TH SarabunPSK" w:eastAsia="TH Sarabun PSK" w:hAnsi="TH SarabunPSK" w:cs="TH SarabunPSK"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36B77">
        <w:rPr>
          <w:rFonts w:ascii="TH SarabunPSK" w:eastAsia="TH Sarabun PSK" w:hAnsi="TH SarabunPSK" w:cs="TH SarabunPSK"/>
          <w:sz w:val="32"/>
          <w:szCs w:val="32"/>
        </w:rPr>
        <w:t>High throughput screening</w:t>
      </w:r>
    </w:p>
    <w:p w14:paraId="657B1570" w14:textId="77777777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of potential skin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36B77">
        <w:rPr>
          <w:rFonts w:ascii="TH SarabunPSK" w:eastAsia="TH Sarabun PSK" w:hAnsi="TH SarabunPSK" w:cs="TH SarabunPSK"/>
          <w:sz w:val="32"/>
          <w:szCs w:val="32"/>
        </w:rPr>
        <w:t>penetration enhancers using stratum corneum lipid liposomes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:</w:t>
      </w:r>
    </w:p>
    <w:p w14:paraId="2915A27E" w14:textId="2E7B230A" w:rsidR="00936B77" w:rsidRPr="00936B77" w:rsidRDefault="00936B77" w:rsidP="00C12F64">
      <w:pPr>
        <w:spacing w:after="0" w:line="276" w:lineRule="auto"/>
        <w:ind w:left="709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sz w:val="32"/>
          <w:szCs w:val="32"/>
        </w:rPr>
        <w:t>preliminary evaluation for different concentrations of ethanol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Journal of Pharmaceutics,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3D448F6A">
        <w:rPr>
          <w:rFonts w:ascii="TH SarabunPSK" w:eastAsia="TH Sarabun PSK" w:hAnsi="TH SarabunPSK" w:cs="TH SarabunPSK"/>
          <w:i/>
          <w:iCs/>
          <w:sz w:val="32"/>
          <w:szCs w:val="32"/>
        </w:rPr>
        <w:t>2017</w:t>
      </w:r>
      <w:r w:rsidRPr="00936B7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3D448F6A" w:rsidRPr="3D448F6A">
        <w:rPr>
          <w:rFonts w:ascii="TH SarabunPSK" w:eastAsia="TH Sarabun PSK" w:hAnsi="TH SarabunPSK" w:cs="TH SarabunPSK"/>
          <w:sz w:val="32"/>
          <w:szCs w:val="32"/>
        </w:rPr>
        <w:t>409420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hyperlink r:id="rId8"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1155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2017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936B77">
          <w:rPr>
            <w:rFonts w:ascii="TH SarabunPSK" w:eastAsia="TH Sarabun PSK" w:hAnsi="TH SarabunPSK" w:cs="TH SarabunPSK"/>
            <w:sz w:val="32"/>
            <w:szCs w:val="32"/>
            <w:u w:val="single"/>
          </w:rPr>
          <w:t>7409420</w:t>
        </w:r>
      </w:hyperlink>
    </w:p>
    <w:p w14:paraId="45FB0818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936B77" w:rsidRPr="00936B77" w:rsidRDefault="00936B77" w:rsidP="00C12F64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36B7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36B7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821"/>
        <w:gridCol w:w="970"/>
        <w:gridCol w:w="1370"/>
      </w:tblGrid>
      <w:tr w:rsidR="00936B77" w:rsidRPr="00936B77" w14:paraId="166029A1" w14:textId="77777777" w:rsidTr="3D448F6A">
        <w:trPr>
          <w:trHeight w:val="111"/>
          <w:tblHeader/>
        </w:trPr>
        <w:tc>
          <w:tcPr>
            <w:tcW w:w="855" w:type="dxa"/>
          </w:tcPr>
          <w:p w14:paraId="7F8A61FD" w14:textId="77777777" w:rsidR="00936B77" w:rsidRPr="00936B77" w:rsidRDefault="00936B77" w:rsidP="00C12F64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821" w:type="dxa"/>
          </w:tcPr>
          <w:p w14:paraId="709853D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970" w:type="dxa"/>
          </w:tcPr>
          <w:p w14:paraId="0247412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370" w:type="dxa"/>
          </w:tcPr>
          <w:p w14:paraId="30497948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36B77" w:rsidRPr="00936B77" w14:paraId="2F41BEA8" w14:textId="77777777" w:rsidTr="3D448F6A">
        <w:trPr>
          <w:trHeight w:val="1595"/>
        </w:trPr>
        <w:tc>
          <w:tcPr>
            <w:tcW w:w="855" w:type="dxa"/>
          </w:tcPr>
          <w:p w14:paraId="649841B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821" w:type="dxa"/>
          </w:tcPr>
          <w:p w14:paraId="2C7F8776" w14:textId="615DB118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Longgos,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Pequiro, E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Liston,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Flores, K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Ecoy, 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Arce, F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Effect of terpenes on the enhancement of skin permeation of lipophilic drugs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 systematic review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Acta Medica Philippina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58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(4), 59-71.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     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47895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amp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vi0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6505</w:t>
            </w:r>
          </w:p>
        </w:tc>
        <w:tc>
          <w:tcPr>
            <w:tcW w:w="970" w:type="dxa"/>
          </w:tcPr>
          <w:p w14:paraId="6DC366A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370" w:type="dxa"/>
          </w:tcPr>
          <w:p w14:paraId="4735DA43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36B77" w:rsidRPr="00936B77" w14:paraId="784CF1B8" w14:textId="77777777" w:rsidTr="3D448F6A">
        <w:tc>
          <w:tcPr>
            <w:tcW w:w="855" w:type="dxa"/>
          </w:tcPr>
          <w:p w14:paraId="18F999B5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821" w:type="dxa"/>
          </w:tcPr>
          <w:p w14:paraId="5953C625" w14:textId="77777777" w:rsidR="00936B77" w:rsidRPr="00936B77" w:rsidRDefault="00936B77" w:rsidP="00C12F64">
            <w:pPr>
              <w:shd w:val="clear" w:color="auto" w:fill="FFFFFF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Sakdiset, P</w:t>
            </w:r>
            <w:r w:rsidRPr="00936B77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Sae Yoon, A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characterization of lidocaine HCl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loaded proniosome gels with skin penetration enhancers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Journal of Drug Delivery Science and Technology, 86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jddst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104639</w:t>
            </w:r>
          </w:p>
        </w:tc>
        <w:tc>
          <w:tcPr>
            <w:tcW w:w="970" w:type="dxa"/>
          </w:tcPr>
          <w:p w14:paraId="4AA7783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370" w:type="dxa"/>
          </w:tcPr>
          <w:p w14:paraId="2D98F6D6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936B77" w:rsidRPr="00936B77" w14:paraId="3C2E9BB0" w14:textId="77777777" w:rsidTr="3D448F6A">
        <w:tc>
          <w:tcPr>
            <w:tcW w:w="855" w:type="dxa"/>
          </w:tcPr>
          <w:p w14:paraId="5FCD5EC4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bookmarkStart w:id="0" w:name="_1pxezwc" w:colFirst="0" w:colLast="0"/>
            <w:bookmarkEnd w:id="0"/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821" w:type="dxa"/>
          </w:tcPr>
          <w:p w14:paraId="7A4EED23" w14:textId="40B8317A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Sottiyotin,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&amp; Palee,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lesson learns from a school of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pharmacy in Thailand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Education, 23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300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             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s12909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04232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14:paraId="310F524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2566</w:t>
            </w:r>
          </w:p>
        </w:tc>
        <w:tc>
          <w:tcPr>
            <w:tcW w:w="1370" w:type="dxa"/>
          </w:tcPr>
          <w:p w14:paraId="1B4AB8A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36B77" w:rsidRPr="00936B77" w14:paraId="2AB61941" w14:textId="77777777" w:rsidTr="3D448F6A">
        <w:tc>
          <w:tcPr>
            <w:tcW w:w="855" w:type="dxa"/>
          </w:tcPr>
          <w:p w14:paraId="2598DEE6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821" w:type="dxa"/>
          </w:tcPr>
          <w:p w14:paraId="263C55C5" w14:textId="30C76E47" w:rsidR="00936B77" w:rsidRPr="00936B77" w:rsidRDefault="00936B77" w:rsidP="3D448F6A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Sanguansajapong, V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D448F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Puttarak,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Development of oral microemulsion spray containing pentacyclic triterpenes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rich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Centella asiatica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(L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Urb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extract for healing mouth ulcers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Pharmaceutics, 14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2531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pharmaceutics14112531</w:t>
            </w:r>
          </w:p>
        </w:tc>
        <w:tc>
          <w:tcPr>
            <w:tcW w:w="970" w:type="dxa"/>
          </w:tcPr>
          <w:p w14:paraId="3EBD962F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370" w:type="dxa"/>
          </w:tcPr>
          <w:p w14:paraId="3EB0BC7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36B77" w:rsidRPr="00936B77" w14:paraId="39738BAB" w14:textId="77777777" w:rsidTr="3D448F6A">
        <w:tc>
          <w:tcPr>
            <w:tcW w:w="855" w:type="dxa"/>
          </w:tcPr>
          <w:p w14:paraId="78941E47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821" w:type="dxa"/>
          </w:tcPr>
          <w:p w14:paraId="2D38247C" w14:textId="77777777" w:rsidR="00936B77" w:rsidRPr="00936B77" w:rsidRDefault="00936B77" w:rsidP="00C12F64">
            <w:pPr>
              <w:shd w:val="clear" w:color="auto" w:fill="FFFFFF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Liston, 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Rivas, P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6B7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Sakdiset, P</w:t>
            </w:r>
            <w:r w:rsidRPr="00936B77">
              <w:rPr>
                <w:rFonts w:ascii="TH SarabunPSK" w:eastAsia="TH Sarabun 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Arce F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 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).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Chemical permeation enhancers for topically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applied vitamin C and its derivatives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 systematic review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Cosmetics, 9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85 https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://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936B7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cosmetics9040085</w:t>
            </w:r>
          </w:p>
        </w:tc>
        <w:tc>
          <w:tcPr>
            <w:tcW w:w="970" w:type="dxa"/>
          </w:tcPr>
          <w:p w14:paraId="1072DA9B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370" w:type="dxa"/>
          </w:tcPr>
          <w:p w14:paraId="7AA6151E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936B77" w:rsidRPr="00936B77" w14:paraId="154E1AB0" w14:textId="77777777" w:rsidTr="3D448F6A">
        <w:tc>
          <w:tcPr>
            <w:tcW w:w="855" w:type="dxa"/>
          </w:tcPr>
          <w:p w14:paraId="29B4EA11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821" w:type="dxa"/>
          </w:tcPr>
          <w:p w14:paraId="498E803A" w14:textId="15377741" w:rsidR="00936B77" w:rsidRPr="00936B77" w:rsidRDefault="00936B77" w:rsidP="70827EC4">
            <w:pPr>
              <w:shd w:val="clear" w:color="auto" w:fill="FFFFFF" w:themeFill="background1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0827E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Sakdiset, P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(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</w:t>
            </w:r>
            <w:r w:rsidRPr="3D448F6A">
              <w:rPr>
                <w:rFonts w:ascii="TH SarabunPSK" w:eastAsia="TH Sarabun PSK" w:hAnsi="TH SarabunPSK" w:cs="TH SarabunPSK"/>
                <w:sz w:val="28"/>
                <w:szCs w:val="28"/>
              </w:rPr>
              <w:t>),</w:t>
            </w:r>
            <w:r w:rsidRPr="70827E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hyperlink r:id="rId9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</w:hyperlink>
            <w:hyperlink r:id="rId10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://</w:t>
              </w:r>
            </w:hyperlink>
            <w:hyperlink r:id="rId11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</w:hyperlink>
            <w:hyperlink r:id="rId12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.</w:t>
              </w:r>
            </w:hyperlink>
            <w:hyperlink r:id="rId13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</w:hyperlink>
            <w:hyperlink r:id="rId14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/</w:t>
              </w:r>
            </w:hyperlink>
            <w:hyperlink r:id="rId15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</w:hyperlink>
            <w:hyperlink r:id="rId16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.</w:t>
              </w:r>
            </w:hyperlink>
            <w:hyperlink r:id="rId17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</w:hyperlink>
            <w:hyperlink r:id="rId18">
              <w:r w:rsidRPr="3D448F6A">
                <w:rPr>
                  <w:rFonts w:ascii="TH SarabunPSK" w:eastAsia="TH Sarabun PSK" w:hAnsi="TH SarabunPSK" w:cs="TH SarabunPSK"/>
                  <w:i/>
                  <w:iCs/>
                  <w:sz w:val="28"/>
                  <w:szCs w:val="28"/>
                  <w:u w:val="single"/>
                  <w:cs/>
                </w:rPr>
                <w:t>/</w:t>
              </w:r>
            </w:hyperlink>
            <w:hyperlink r:id="rId19">
              <w:r w:rsidRPr="00936B77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cosmetics9010003</w:t>
              </w:r>
            </w:hyperlink>
            <w:r w:rsidRPr="3D448F6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970" w:type="dxa"/>
          </w:tcPr>
          <w:p w14:paraId="1027DF72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</w:p>
        </w:tc>
        <w:tc>
          <w:tcPr>
            <w:tcW w:w="1370" w:type="dxa"/>
          </w:tcPr>
          <w:p w14:paraId="7D0DFE3D" w14:textId="77777777" w:rsidR="00936B77" w:rsidRPr="00936B77" w:rsidRDefault="00936B77" w:rsidP="00C12F64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049F31C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36B7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36B7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936B77" w:rsidRPr="00936B77" w14:paraId="186F520C" w14:textId="77777777" w:rsidTr="00484006"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143" w14:textId="77777777" w:rsidR="00936B77" w:rsidRPr="00936B77" w:rsidRDefault="00936B77" w:rsidP="00C12F64">
            <w:pPr>
              <w:spacing w:after="0" w:line="276" w:lineRule="auto"/>
              <w:ind w:firstLine="360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38BD" w14:textId="77777777" w:rsidR="00936B77" w:rsidRPr="00936B77" w:rsidRDefault="00936B77" w:rsidP="00C12F64">
            <w:pPr>
              <w:spacing w:after="0" w:line="276" w:lineRule="auto"/>
              <w:ind w:firstLine="360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36B77" w:rsidRPr="00936B77" w14:paraId="190B2E73" w14:textId="77777777" w:rsidTr="00484006"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D5D" w14:textId="77777777" w:rsidR="00936B77" w:rsidRPr="00936B77" w:rsidRDefault="00936B77" w:rsidP="00C12F64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PR177887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8B1" w14:textId="77777777" w:rsidR="00936B77" w:rsidRPr="00936B77" w:rsidRDefault="00936B77" w:rsidP="00C12F64">
            <w:pPr>
              <w:spacing w:after="0" w:line="276" w:lineRule="auto"/>
              <w:ind w:firstLine="360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6B7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53128261" w14:textId="77777777" w:rsidR="00936B77" w:rsidRPr="00936B77" w:rsidRDefault="00936B77" w:rsidP="00C12F64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62486C05" w14:textId="77777777" w:rsidR="00F97D44" w:rsidRPr="00936B77" w:rsidRDefault="00F97D44" w:rsidP="00C12F6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936B7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E4"/>
    <w:multiLevelType w:val="multilevel"/>
    <w:tmpl w:val="B0F2E606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205DB"/>
    <w:multiLevelType w:val="multilevel"/>
    <w:tmpl w:val="9AECF0CC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680C9E"/>
    <w:multiLevelType w:val="multilevel"/>
    <w:tmpl w:val="583683B2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E7C58"/>
    <w:multiLevelType w:val="multilevel"/>
    <w:tmpl w:val="16E017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7067">
    <w:abstractNumId w:val="2"/>
  </w:num>
  <w:num w:numId="2" w16cid:durableId="1299258387">
    <w:abstractNumId w:val="0"/>
  </w:num>
  <w:num w:numId="3" w16cid:durableId="2139030541">
    <w:abstractNumId w:val="1"/>
  </w:num>
  <w:num w:numId="4" w16cid:durableId="186170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08"/>
    <w:rsid w:val="00216B96"/>
    <w:rsid w:val="00631C37"/>
    <w:rsid w:val="00936B77"/>
    <w:rsid w:val="00C12F64"/>
    <w:rsid w:val="00E45108"/>
    <w:rsid w:val="00E525BC"/>
    <w:rsid w:val="00F8788B"/>
    <w:rsid w:val="00F97D44"/>
    <w:rsid w:val="3D448F6A"/>
    <w:rsid w:val="4D6F9DC1"/>
    <w:rsid w:val="66489B9D"/>
    <w:rsid w:val="708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2AFE"/>
  <w15:chartTrackingRefBased/>
  <w15:docId w15:val="{2CF68B7E-E676-4E2F-A843-34867655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B7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7/7409420" TargetMode="External"/><Relationship Id="rId13" Type="http://schemas.openxmlformats.org/officeDocument/2006/relationships/hyperlink" Target="https://doi.org/10.3390/cosmetics9010003" TargetMode="External"/><Relationship Id="rId18" Type="http://schemas.openxmlformats.org/officeDocument/2006/relationships/hyperlink" Target="https://doi.org/10.3390/cosmetics90100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i.org/10.1248/cpb.c17-00269" TargetMode="External"/><Relationship Id="rId12" Type="http://schemas.openxmlformats.org/officeDocument/2006/relationships/hyperlink" Target="https://doi.org/10.3390/cosmetics9010003" TargetMode="External"/><Relationship Id="rId17" Type="http://schemas.openxmlformats.org/officeDocument/2006/relationships/hyperlink" Target="https://doi.org/10.3390/cosmetics9010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cosmetics9010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ddst.2017.11.021" TargetMode="External"/><Relationship Id="rId11" Type="http://schemas.openxmlformats.org/officeDocument/2006/relationships/hyperlink" Target="https://doi.org/10.3390/cosmetics901000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3390/cosmetics9010003" TargetMode="External"/><Relationship Id="rId10" Type="http://schemas.openxmlformats.org/officeDocument/2006/relationships/hyperlink" Target="https://doi.org/10.3390/cosmetics9010003" TargetMode="External"/><Relationship Id="rId19" Type="http://schemas.openxmlformats.org/officeDocument/2006/relationships/hyperlink" Target="https://doi.org/10.3390/cosmetics901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osmetics9010003" TargetMode="External"/><Relationship Id="rId14" Type="http://schemas.openxmlformats.org/officeDocument/2006/relationships/hyperlink" Target="https://doi.org/10.3390/cosmetics901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2025-07-23T06:33:00Z</dcterms:created>
  <dcterms:modified xsi:type="dcterms:W3CDTF">2025-07-23T06:33:00Z</dcterms:modified>
</cp:coreProperties>
</file>