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B3BB3" w14:textId="1193F2D7" w:rsidR="00AB6E8C" w:rsidRPr="00C62DB0" w:rsidRDefault="006C4AB3" w:rsidP="00A020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90AE3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73D7CC96" wp14:editId="38D09652">
            <wp:extent cx="487492" cy="782320"/>
            <wp:effectExtent l="0" t="0" r="8255" b="0"/>
            <wp:docPr id="171294910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33C4" w14:textId="77777777" w:rsidR="00AB6E8C" w:rsidRPr="00C62DB0" w:rsidRDefault="00AB6E8C" w:rsidP="00A020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2DB0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C62DB0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C62D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B04DC38" w14:textId="66A6AB1C" w:rsidR="00AB6E8C" w:rsidRDefault="001C7DE4" w:rsidP="00A020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12B6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</w:t>
      </w:r>
      <w:r w:rsidR="00E278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ดร.</w:t>
      </w:r>
      <w:r w:rsidR="006012B6" w:rsidRPr="006012B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กริชอมร </w:t>
      </w:r>
      <w:r w:rsidR="00AB6E8C" w:rsidRPr="006012B6">
        <w:rPr>
          <w:rFonts w:ascii="TH SarabunPSK" w:hAnsi="TH SarabunPSK" w:cs="TH SarabunPSK"/>
          <w:b/>
          <w:bCs/>
          <w:sz w:val="32"/>
          <w:szCs w:val="32"/>
          <w:cs/>
        </w:rPr>
        <w:t>จิตรรังศรี</w:t>
      </w:r>
    </w:p>
    <w:p w14:paraId="324FF6EC" w14:textId="77777777" w:rsidR="006C4AB3" w:rsidRPr="006C4AB3" w:rsidRDefault="006C4AB3" w:rsidP="00A020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569"/>
        <w:gridCol w:w="1047"/>
        <w:gridCol w:w="2410"/>
      </w:tblGrid>
      <w:tr w:rsidR="00C62DB0" w:rsidRPr="00C62DB0" w14:paraId="26673F59" w14:textId="77777777" w:rsidTr="00B96D6B">
        <w:trPr>
          <w:trHeight w:val="1167"/>
        </w:trPr>
        <w:tc>
          <w:tcPr>
            <w:tcW w:w="3085" w:type="pct"/>
            <w:shd w:val="clear" w:color="auto" w:fill="auto"/>
          </w:tcPr>
          <w:p w14:paraId="5481070A" w14:textId="77777777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4F7FB66" w14:textId="1E31D333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5395D76B" w14:textId="238A60C1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80" w:type="pct"/>
            <w:shd w:val="clear" w:color="auto" w:fill="auto"/>
          </w:tcPr>
          <w:p w14:paraId="094EDFAF" w14:textId="77777777" w:rsid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36761803" w14:textId="7029A940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6B83F365" w14:textId="77777777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36" w:type="pct"/>
          </w:tcPr>
          <w:p w14:paraId="5D753F08" w14:textId="77777777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075-676768</w:t>
            </w:r>
          </w:p>
          <w:p w14:paraId="760002A0" w14:textId="77777777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075-672399</w:t>
            </w:r>
          </w:p>
          <w:p w14:paraId="747E253B" w14:textId="4CFA4869" w:rsidR="00C62DB0" w:rsidRPr="00C62DB0" w:rsidRDefault="00C62DB0" w:rsidP="00A02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C62DB0">
              <w:rPr>
                <w:rFonts w:ascii="TH SarabunPSK" w:hAnsi="TH SarabunPSK" w:cs="TH SarabunPSK"/>
                <w:sz w:val="32"/>
                <w:szCs w:val="32"/>
              </w:rPr>
              <w:t>ritamorn</w:t>
            </w: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62DB0">
              <w:rPr>
                <w:rFonts w:ascii="TH SarabunPSK" w:hAnsi="TH SarabunPSK" w:cs="TH SarabunPSK"/>
                <w:sz w:val="32"/>
                <w:szCs w:val="32"/>
              </w:rPr>
              <w:t>ji@wu</w:t>
            </w: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62DB0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C62D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62DB0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4334C13E" w14:textId="77777777" w:rsidR="00C62DB0" w:rsidRDefault="00C62DB0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F5F6FF" w14:textId="778E7117" w:rsidR="00AB6E8C" w:rsidRPr="00C62DB0" w:rsidRDefault="00AB6E8C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D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81E16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6459"/>
        <w:gridCol w:w="1280"/>
      </w:tblGrid>
      <w:tr w:rsidR="00AB6E8C" w:rsidRPr="00881E16" w14:paraId="7B3456E0" w14:textId="77777777" w:rsidTr="00B96D6B">
        <w:tc>
          <w:tcPr>
            <w:tcW w:w="708" w:type="pct"/>
            <w:shd w:val="clear" w:color="auto" w:fill="D9D9D9"/>
          </w:tcPr>
          <w:p w14:paraId="34118149" w14:textId="77777777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3581" w:type="pct"/>
            <w:shd w:val="clear" w:color="auto" w:fill="D9D9D9"/>
          </w:tcPr>
          <w:p w14:paraId="1E998F89" w14:textId="77777777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สาขาวิชา/สถาบันการศึกษา</w:t>
            </w:r>
          </w:p>
        </w:tc>
        <w:tc>
          <w:tcPr>
            <w:tcW w:w="710" w:type="pct"/>
            <w:shd w:val="clear" w:color="auto" w:fill="D9D9D9"/>
          </w:tcPr>
          <w:p w14:paraId="04242F39" w14:textId="058FFBDB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B6E8C" w:rsidRPr="00881E16" w14:paraId="3C61430B" w14:textId="77777777" w:rsidTr="00B96D6B">
        <w:tc>
          <w:tcPr>
            <w:tcW w:w="708" w:type="pct"/>
            <w:shd w:val="clear" w:color="auto" w:fill="auto"/>
          </w:tcPr>
          <w:p w14:paraId="21F5BFEB" w14:textId="5223B58E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</w:rPr>
              <w:t>PhD</w:t>
            </w:r>
            <w:r w:rsidR="009D4F54"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3581" w:type="pct"/>
            <w:shd w:val="clear" w:color="auto" w:fill="auto"/>
          </w:tcPr>
          <w:p w14:paraId="6BD06D9D" w14:textId="1514629E" w:rsidR="00AB6E8C" w:rsidRPr="00881E16" w:rsidRDefault="00AB6E8C" w:rsidP="00A02058">
            <w:pPr>
              <w:spacing w:after="0" w:line="240" w:lineRule="auto"/>
              <w:ind w:right="-2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spacing w:val="-4"/>
                <w:sz w:val="28"/>
                <w:szCs w:val="28"/>
              </w:rPr>
              <w:t>Pharmaceutical Sciences</w:t>
            </w:r>
            <w:r w:rsidRPr="00881E16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/</w:t>
            </w:r>
            <w:r w:rsidRPr="00881E16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Chiba University, Japan</w:t>
            </w:r>
          </w:p>
        </w:tc>
        <w:tc>
          <w:tcPr>
            <w:tcW w:w="710" w:type="pct"/>
            <w:shd w:val="clear" w:color="auto" w:fill="auto"/>
          </w:tcPr>
          <w:p w14:paraId="360A18AC" w14:textId="5DFA081A" w:rsidR="00AB6E8C" w:rsidRPr="00881E16" w:rsidRDefault="00AB6E8C" w:rsidP="00B96D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881E16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</w:tr>
      <w:tr w:rsidR="00AB6E8C" w:rsidRPr="00881E16" w14:paraId="37CAC289" w14:textId="77777777" w:rsidTr="00B96D6B">
        <w:tc>
          <w:tcPr>
            <w:tcW w:w="708" w:type="pct"/>
            <w:shd w:val="clear" w:color="auto" w:fill="auto"/>
          </w:tcPr>
          <w:p w14:paraId="7A55DE8D" w14:textId="77777777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3581" w:type="pct"/>
            <w:shd w:val="clear" w:color="auto" w:fill="auto"/>
          </w:tcPr>
          <w:p w14:paraId="4B47B418" w14:textId="5FD3238D" w:rsidR="00AB6E8C" w:rsidRPr="00881E16" w:rsidRDefault="00AB6E8C" w:rsidP="00A020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วิทยาการทางเภสัชศาสตร์/ มหาวิทยาลัยศิลปากร</w:t>
            </w:r>
          </w:p>
        </w:tc>
        <w:tc>
          <w:tcPr>
            <w:tcW w:w="710" w:type="pct"/>
            <w:shd w:val="clear" w:color="auto" w:fill="auto"/>
          </w:tcPr>
          <w:p w14:paraId="18D4D3B7" w14:textId="1000F390" w:rsidR="00AB6E8C" w:rsidRPr="00881E16" w:rsidRDefault="00AB6E8C" w:rsidP="00B96D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881E16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</w:tr>
      <w:tr w:rsidR="00AB6E8C" w:rsidRPr="00881E16" w14:paraId="0D016CB1" w14:textId="77777777" w:rsidTr="00B96D6B">
        <w:tc>
          <w:tcPr>
            <w:tcW w:w="708" w:type="pct"/>
            <w:shd w:val="clear" w:color="auto" w:fill="auto"/>
          </w:tcPr>
          <w:p w14:paraId="7895DE4E" w14:textId="77777777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3581" w:type="pct"/>
            <w:shd w:val="clear" w:color="auto" w:fill="auto"/>
          </w:tcPr>
          <w:p w14:paraId="287E3CB1" w14:textId="2757CBC8" w:rsidR="00AB6E8C" w:rsidRPr="00881E16" w:rsidRDefault="00AB6E8C" w:rsidP="00A020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เภสัชศาสตร์/ มหาวิทยาลัยอุบลราชธานี</w:t>
            </w:r>
          </w:p>
        </w:tc>
        <w:tc>
          <w:tcPr>
            <w:tcW w:w="710" w:type="pct"/>
            <w:shd w:val="clear" w:color="auto" w:fill="auto"/>
          </w:tcPr>
          <w:p w14:paraId="0DEB0A93" w14:textId="0ACA91CE" w:rsidR="00AB6E8C" w:rsidRPr="00881E16" w:rsidRDefault="00AB6E8C" w:rsidP="00B96D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881E16">
              <w:rPr>
                <w:rFonts w:ascii="TH SarabunPSK" w:hAnsi="TH SarabunPSK" w:cs="TH SarabunPSK"/>
                <w:sz w:val="28"/>
                <w:szCs w:val="28"/>
              </w:rPr>
              <w:t>551</w:t>
            </w:r>
          </w:p>
        </w:tc>
      </w:tr>
    </w:tbl>
    <w:p w14:paraId="713BA0F3" w14:textId="77777777" w:rsidR="00881E16" w:rsidRDefault="00881E16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B37A20" w14:textId="29B7F4D0" w:rsidR="00AB6E8C" w:rsidRPr="00C62DB0" w:rsidRDefault="00AB6E8C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DB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62DB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1280"/>
      </w:tblGrid>
      <w:tr w:rsidR="00AB6E8C" w:rsidRPr="00881E16" w14:paraId="66012C3F" w14:textId="77777777" w:rsidTr="00B96D6B">
        <w:tc>
          <w:tcPr>
            <w:tcW w:w="4290" w:type="pct"/>
            <w:shd w:val="clear" w:color="auto" w:fill="D9D9D9"/>
          </w:tcPr>
          <w:p w14:paraId="2260DD77" w14:textId="77777777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710" w:type="pct"/>
            <w:shd w:val="clear" w:color="auto" w:fill="D9D9D9"/>
          </w:tcPr>
          <w:p w14:paraId="791CEEC6" w14:textId="2B1B15AB" w:rsidR="00AB6E8C" w:rsidRPr="00881E16" w:rsidRDefault="00AB6E8C" w:rsidP="00A02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B6E8C" w:rsidRPr="00881E16" w14:paraId="0AAE956C" w14:textId="77777777" w:rsidTr="00B96D6B">
        <w:tc>
          <w:tcPr>
            <w:tcW w:w="4290" w:type="pct"/>
            <w:shd w:val="clear" w:color="auto" w:fill="auto"/>
          </w:tcPr>
          <w:p w14:paraId="560B52B7" w14:textId="77777777" w:rsidR="00AB6E8C" w:rsidRPr="00881E16" w:rsidRDefault="00AB6E8C" w:rsidP="00A020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อาจารย์ มหาวิทยาลัยวลัยลักษณ์</w:t>
            </w:r>
          </w:p>
        </w:tc>
        <w:tc>
          <w:tcPr>
            <w:tcW w:w="710" w:type="pct"/>
            <w:shd w:val="clear" w:color="auto" w:fill="auto"/>
          </w:tcPr>
          <w:p w14:paraId="0B710A8E" w14:textId="0BE8D238" w:rsidR="00AB6E8C" w:rsidRPr="00881E16" w:rsidRDefault="00AB6E8C" w:rsidP="00B96D6B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881E16">
              <w:rPr>
                <w:rFonts w:ascii="TH SarabunPSK" w:hAnsi="TH SarabunPSK" w:cs="TH SarabunPSK"/>
                <w:sz w:val="28"/>
                <w:szCs w:val="28"/>
              </w:rPr>
              <w:t>566</w:t>
            </w: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AB6E8C" w:rsidRPr="00881E16" w14:paraId="5A12D83B" w14:textId="77777777" w:rsidTr="00B96D6B">
        <w:tc>
          <w:tcPr>
            <w:tcW w:w="4290" w:type="pct"/>
            <w:shd w:val="clear" w:color="auto" w:fill="auto"/>
          </w:tcPr>
          <w:p w14:paraId="66A70DAC" w14:textId="77777777" w:rsidR="00AB6E8C" w:rsidRPr="00881E16" w:rsidRDefault="00AB6E8C" w:rsidP="00A020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ผู้จัดการแผนกควบคุมคุณภาพ บริษัท เพรสซิเดนท์ อินเตอร์ฟาร์ม่า จำกัด</w:t>
            </w:r>
          </w:p>
        </w:tc>
        <w:tc>
          <w:tcPr>
            <w:tcW w:w="710" w:type="pct"/>
            <w:shd w:val="clear" w:color="auto" w:fill="auto"/>
          </w:tcPr>
          <w:p w14:paraId="31C47D97" w14:textId="0097C10A" w:rsidR="00AB6E8C" w:rsidRPr="00881E16" w:rsidRDefault="00AB6E8C" w:rsidP="00B96D6B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E77BF0" w:rsidRPr="00881E16">
              <w:rPr>
                <w:rFonts w:ascii="TH SarabunPSK" w:hAnsi="TH SarabunPSK" w:cs="TH SarabunPSK"/>
                <w:sz w:val="28"/>
                <w:szCs w:val="28"/>
              </w:rPr>
              <w:t>556</w:t>
            </w: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-2</w:t>
            </w:r>
            <w:r w:rsidR="00E77BF0" w:rsidRPr="00881E16">
              <w:rPr>
                <w:rFonts w:ascii="TH SarabunPSK" w:hAnsi="TH SarabunPSK" w:cs="TH SarabunPSK"/>
                <w:sz w:val="28"/>
                <w:szCs w:val="28"/>
              </w:rPr>
              <w:t>557</w:t>
            </w:r>
          </w:p>
        </w:tc>
      </w:tr>
      <w:tr w:rsidR="00AB6E8C" w:rsidRPr="00881E16" w14:paraId="6588CF0D" w14:textId="77777777" w:rsidTr="00B96D6B">
        <w:tc>
          <w:tcPr>
            <w:tcW w:w="4290" w:type="pct"/>
            <w:shd w:val="clear" w:color="auto" w:fill="auto"/>
          </w:tcPr>
          <w:p w14:paraId="1FFE2920" w14:textId="77777777" w:rsidR="00AB6E8C" w:rsidRPr="00881E16" w:rsidRDefault="00AB6E8C" w:rsidP="00A02058">
            <w:pPr>
              <w:tabs>
                <w:tab w:val="left" w:pos="426"/>
                <w:tab w:val="num" w:pos="1134"/>
              </w:tabs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นักวิจัย องค์การเภสัชกรรม</w:t>
            </w:r>
          </w:p>
        </w:tc>
        <w:tc>
          <w:tcPr>
            <w:tcW w:w="710" w:type="pct"/>
            <w:shd w:val="clear" w:color="auto" w:fill="auto"/>
          </w:tcPr>
          <w:p w14:paraId="747C745B" w14:textId="45740167" w:rsidR="00AB6E8C" w:rsidRPr="00881E16" w:rsidRDefault="00AB6E8C" w:rsidP="00B96D6B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E77BF0" w:rsidRPr="00881E16">
              <w:rPr>
                <w:rFonts w:ascii="TH SarabunPSK" w:hAnsi="TH SarabunPSK" w:cs="TH SarabunPSK"/>
                <w:sz w:val="28"/>
                <w:szCs w:val="28"/>
              </w:rPr>
              <w:t>552</w:t>
            </w: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-2</w:t>
            </w:r>
            <w:r w:rsidR="00E77BF0" w:rsidRPr="00881E16">
              <w:rPr>
                <w:rFonts w:ascii="TH SarabunPSK" w:hAnsi="TH SarabunPSK" w:cs="TH SarabunPSK"/>
                <w:sz w:val="28"/>
                <w:szCs w:val="28"/>
              </w:rPr>
              <w:t>556</w:t>
            </w:r>
          </w:p>
        </w:tc>
      </w:tr>
      <w:tr w:rsidR="00AB6E8C" w:rsidRPr="00881E16" w14:paraId="530576E3" w14:textId="77777777" w:rsidTr="00B96D6B">
        <w:tc>
          <w:tcPr>
            <w:tcW w:w="4290" w:type="pct"/>
            <w:shd w:val="clear" w:color="auto" w:fill="auto"/>
          </w:tcPr>
          <w:p w14:paraId="4C7C19A3" w14:textId="77777777" w:rsidR="00AB6E8C" w:rsidRPr="00881E16" w:rsidRDefault="00AB6E8C" w:rsidP="00A02058">
            <w:pPr>
              <w:tabs>
                <w:tab w:val="left" w:pos="426"/>
                <w:tab w:val="num" w:pos="1134"/>
              </w:tabs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881E1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เภสัชกร บริษัท บูทส์ รีเทล ประเทศไทย จำกัด</w:t>
            </w:r>
          </w:p>
        </w:tc>
        <w:tc>
          <w:tcPr>
            <w:tcW w:w="710" w:type="pct"/>
            <w:shd w:val="clear" w:color="auto" w:fill="auto"/>
          </w:tcPr>
          <w:p w14:paraId="4FF05BFA" w14:textId="62442020" w:rsidR="00AB6E8C" w:rsidRPr="00881E16" w:rsidRDefault="00AB6E8C" w:rsidP="00B96D6B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E77BF0" w:rsidRPr="00881E16">
              <w:rPr>
                <w:rFonts w:ascii="TH SarabunPSK" w:hAnsi="TH SarabunPSK" w:cs="TH SarabunPSK"/>
                <w:sz w:val="28"/>
                <w:szCs w:val="28"/>
              </w:rPr>
              <w:t>551</w:t>
            </w:r>
            <w:r w:rsidRPr="00881E16">
              <w:rPr>
                <w:rFonts w:ascii="TH SarabunPSK" w:hAnsi="TH SarabunPSK" w:cs="TH SarabunPSK"/>
                <w:sz w:val="28"/>
                <w:szCs w:val="28"/>
                <w:cs/>
              </w:rPr>
              <w:t>-2</w:t>
            </w:r>
            <w:r w:rsidR="00E77BF0" w:rsidRPr="00881E16">
              <w:rPr>
                <w:rFonts w:ascii="TH SarabunPSK" w:hAnsi="TH SarabunPSK" w:cs="TH SarabunPSK"/>
                <w:sz w:val="28"/>
                <w:szCs w:val="28"/>
              </w:rPr>
              <w:t>552</w:t>
            </w:r>
          </w:p>
        </w:tc>
      </w:tr>
    </w:tbl>
    <w:p w14:paraId="1EBF626F" w14:textId="77777777" w:rsidR="00881E16" w:rsidRDefault="00881E16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AEBFFA" w14:textId="179A8A7C" w:rsidR="00AB6E8C" w:rsidRPr="00C62DB0" w:rsidRDefault="00AB6E8C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DB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62DB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 </w:t>
      </w:r>
    </w:p>
    <w:p w14:paraId="3207A7AC" w14:textId="7FE650B3" w:rsidR="00AB6E8C" w:rsidRPr="00881E16" w:rsidRDefault="00AB6E8C" w:rsidP="00A02058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1E16">
        <w:rPr>
          <w:rFonts w:ascii="TH SarabunPSK" w:hAnsi="TH SarabunPSK" w:cs="TH SarabunPSK"/>
          <w:sz w:val="32"/>
          <w:szCs w:val="32"/>
        </w:rPr>
        <w:t>Experimental designs</w:t>
      </w:r>
    </w:p>
    <w:p w14:paraId="6AB840C2" w14:textId="21A2FF8F" w:rsidR="00AB6E8C" w:rsidRPr="00881E16" w:rsidRDefault="00AB6E8C" w:rsidP="00A02058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1E16">
        <w:rPr>
          <w:rFonts w:ascii="TH SarabunPSK" w:hAnsi="TH SarabunPSK" w:cs="TH SarabunPSK"/>
          <w:sz w:val="32"/>
          <w:szCs w:val="32"/>
        </w:rPr>
        <w:t xml:space="preserve">Phytochemicals extraction and isolation </w:t>
      </w:r>
    </w:p>
    <w:p w14:paraId="3999330F" w14:textId="3DCE73AA" w:rsidR="00AB6E8C" w:rsidRPr="00881E16" w:rsidRDefault="00AB6E8C" w:rsidP="00A02058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1E16">
        <w:rPr>
          <w:rFonts w:ascii="TH SarabunPSK" w:hAnsi="TH SarabunPSK" w:cs="TH SarabunPSK"/>
          <w:sz w:val="32"/>
          <w:szCs w:val="32"/>
        </w:rPr>
        <w:t>Drug delivery systems</w:t>
      </w:r>
    </w:p>
    <w:p w14:paraId="5E0971E4" w14:textId="77777777" w:rsidR="00881E16" w:rsidRDefault="00881E16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6661CB09" w14:textId="377A96C4" w:rsidR="00AB6E8C" w:rsidRPr="00C62DB0" w:rsidRDefault="00AB6E8C" w:rsidP="00A02058">
      <w:pPr>
        <w:spacing w:after="0" w:line="240" w:lineRule="auto"/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</w:pPr>
      <w:r w:rsidRPr="00C62DB0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881E1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9"/>
        <w:gridCol w:w="1969"/>
        <w:gridCol w:w="1637"/>
        <w:gridCol w:w="2970"/>
        <w:gridCol w:w="831"/>
      </w:tblGrid>
      <w:tr w:rsidR="004246D7" w:rsidRPr="00881E16" w14:paraId="050998A6" w14:textId="77777777" w:rsidTr="001F14A1">
        <w:trPr>
          <w:tblHeader/>
        </w:trPr>
        <w:tc>
          <w:tcPr>
            <w:tcW w:w="892" w:type="pct"/>
            <w:shd w:val="clear" w:color="auto" w:fill="D9D9D9" w:themeFill="background1" w:themeFillShade="D9"/>
          </w:tcPr>
          <w:p w14:paraId="7945D1AE" w14:textId="77777777" w:rsidR="004246D7" w:rsidRPr="00881E16" w:rsidRDefault="004246D7" w:rsidP="00A02058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bookmarkStart w:id="1" w:name="_Hlk172637213"/>
            <w:r w:rsidRPr="00881E16"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2" w:type="pct"/>
            <w:shd w:val="clear" w:color="auto" w:fill="D9D9D9" w:themeFill="background1" w:themeFillShade="D9"/>
          </w:tcPr>
          <w:p w14:paraId="0689ED16" w14:textId="77777777" w:rsidR="004246D7" w:rsidRPr="00881E16" w:rsidRDefault="004246D7" w:rsidP="00A02058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 w:rsidRPr="00881E16"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7459159E" w14:textId="77777777" w:rsidR="004246D7" w:rsidRPr="00881E16" w:rsidRDefault="004246D7" w:rsidP="00A02058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 w:rsidRPr="00881E16"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47" w:type="pct"/>
            <w:shd w:val="clear" w:color="auto" w:fill="D9D9D9" w:themeFill="background1" w:themeFillShade="D9"/>
          </w:tcPr>
          <w:p w14:paraId="31EDA340" w14:textId="1A108A19" w:rsidR="004246D7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61" w:type="pct"/>
            <w:shd w:val="clear" w:color="auto" w:fill="D9D9D9" w:themeFill="background1" w:themeFillShade="D9"/>
          </w:tcPr>
          <w:p w14:paraId="049C8E3E" w14:textId="77777777" w:rsidR="004246D7" w:rsidRPr="00881E16" w:rsidRDefault="004246D7" w:rsidP="00A02058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81E16" w:rsidRPr="00881E16" w14:paraId="0AB22B37" w14:textId="77777777" w:rsidTr="001F14A1">
        <w:tc>
          <w:tcPr>
            <w:tcW w:w="892" w:type="pct"/>
            <w:vMerge w:val="restart"/>
            <w:shd w:val="clear" w:color="auto" w:fill="auto"/>
          </w:tcPr>
          <w:p w14:paraId="6CC9D30B" w14:textId="0D39B0C6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Theme="minorHAnsi" w:hAnsi="TH SarabunPSK" w:cs="TH SarabunPSK"/>
                <w:sz w:val="24"/>
                <w:szCs w:val="24"/>
              </w:rPr>
              <w:br/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2" w:type="pct"/>
            <w:shd w:val="clear" w:color="auto" w:fill="auto"/>
          </w:tcPr>
          <w:p w14:paraId="15B22EA2" w14:textId="15B589A4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881E1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908" w:type="pct"/>
            <w:shd w:val="clear" w:color="auto" w:fill="auto"/>
          </w:tcPr>
          <w:p w14:paraId="6FB3AF93" w14:textId="108E6702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881E1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1647" w:type="pct"/>
            <w:shd w:val="clear" w:color="auto" w:fill="auto"/>
          </w:tcPr>
          <w:p w14:paraId="1D11C106" w14:textId="071FDFFB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62-314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Pharmaceutical Technology Laboratory II</w:t>
            </w:r>
          </w:p>
          <w:p w14:paraId="4F995894" w14:textId="6CE05AED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62-315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Pharmaceutical Technology III</w:t>
            </w:r>
          </w:p>
          <w:p w14:paraId="689EA91B" w14:textId="760D1F85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62-316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Pharmaceutical Technology Laboratory III</w:t>
            </w:r>
          </w:p>
          <w:p w14:paraId="5B63997B" w14:textId="707F2108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PHA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62-442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Integrated Pharmacy</w:t>
            </w:r>
          </w:p>
        </w:tc>
        <w:tc>
          <w:tcPr>
            <w:tcW w:w="461" w:type="pct"/>
            <w:shd w:val="clear" w:color="auto" w:fill="auto"/>
          </w:tcPr>
          <w:p w14:paraId="1703DFEC" w14:textId="2E98CB7A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2567</w:t>
            </w:r>
          </w:p>
        </w:tc>
      </w:tr>
      <w:tr w:rsidR="00881E16" w:rsidRPr="00881E16" w14:paraId="0AAA2ECA" w14:textId="77777777" w:rsidTr="001F14A1">
        <w:tc>
          <w:tcPr>
            <w:tcW w:w="892" w:type="pct"/>
            <w:vMerge/>
            <w:shd w:val="clear" w:color="auto" w:fill="auto"/>
          </w:tcPr>
          <w:p w14:paraId="11767A86" w14:textId="793F5F23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2" w:type="pct"/>
            <w:shd w:val="clear" w:color="auto" w:fill="auto"/>
          </w:tcPr>
          <w:p w14:paraId="094714C4" w14:textId="6FECD422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881E1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วิศวกรรมศาสตร์</w:t>
            </w:r>
          </w:p>
        </w:tc>
        <w:tc>
          <w:tcPr>
            <w:tcW w:w="908" w:type="pct"/>
            <w:shd w:val="clear" w:color="auto" w:fill="auto"/>
          </w:tcPr>
          <w:p w14:paraId="06F44B85" w14:textId="6B931CDA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881E1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วิศวกรรมเคมีและเคมีเภสัชกรรม</w:t>
            </w:r>
          </w:p>
        </w:tc>
        <w:tc>
          <w:tcPr>
            <w:tcW w:w="1647" w:type="pct"/>
            <w:shd w:val="clear" w:color="auto" w:fill="auto"/>
          </w:tcPr>
          <w:p w14:paraId="05C6C4D2" w14:textId="2B5F6281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CPE64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371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Pharmaceutical Chemistry </w:t>
            </w:r>
          </w:p>
          <w:p w14:paraId="357955E0" w14:textId="3F213E62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CPE64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372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Chemical engineering in pharmaceutical industry </w:t>
            </w:r>
          </w:p>
          <w:p w14:paraId="0AE044F3" w14:textId="266ABAE5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lastRenderedPageBreak/>
              <w:t>CPE64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374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Instrumental Analysis for Pharmaceutical Products</w:t>
            </w:r>
          </w:p>
          <w:p w14:paraId="58C1D832" w14:textId="6790B922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CPE64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477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Cosmeceutical Sciences</w:t>
            </w:r>
          </w:p>
          <w:p w14:paraId="6501D627" w14:textId="3ED41AE6" w:rsidR="00881E16" w:rsidRPr="00881E16" w:rsidRDefault="00881E16" w:rsidP="001F14A1">
            <w:pPr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CPE64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461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 </w:t>
            </w:r>
            <w:r w:rsidRPr="00881E16">
              <w:rPr>
                <w:rFonts w:ascii="TH SarabunPSK" w:eastAsiaTheme="minorHAnsi" w:hAnsi="TH SarabunPSK" w:cs="TH SarabunPSK"/>
                <w:sz w:val="24"/>
                <w:szCs w:val="24"/>
              </w:rPr>
              <w:t>Introduction Herbal Extraction Process</w:t>
            </w:r>
          </w:p>
        </w:tc>
        <w:tc>
          <w:tcPr>
            <w:tcW w:w="461" w:type="pct"/>
            <w:shd w:val="clear" w:color="auto" w:fill="auto"/>
          </w:tcPr>
          <w:p w14:paraId="12816FC9" w14:textId="6D844D01" w:rsidR="00881E16" w:rsidRPr="00881E16" w:rsidRDefault="00881E16" w:rsidP="00A02058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 w:rsidRPr="00881E16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  <w:bookmarkEnd w:id="1"/>
    </w:tbl>
    <w:p w14:paraId="5C4BD585" w14:textId="77777777" w:rsidR="00AB6E8C" w:rsidRPr="00C62DB0" w:rsidRDefault="00AB6E8C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309A21" w14:textId="25B7D8FC" w:rsidR="00AB6E8C" w:rsidRPr="00C62DB0" w:rsidRDefault="00AB6E8C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62DB0">
        <w:rPr>
          <w:rFonts w:ascii="TH SarabunPSK" w:eastAsiaTheme="minorHAnsi" w:hAnsi="TH SarabunPSK" w:cs="TH SarabunPSK"/>
          <w:b/>
          <w:bCs/>
          <w:sz w:val="32"/>
          <w:szCs w:val="32"/>
        </w:rPr>
        <w:t>5</w:t>
      </w:r>
      <w:r w:rsidR="00C911C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</w:t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79E62A76" w14:textId="416381B6" w:rsid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1</w:t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โท</w:t>
      </w:r>
    </w:p>
    <w:p w14:paraId="79FC8753" w14:textId="17C9492A" w:rsidR="00C911C7" w:rsidRP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="00A02058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</w:p>
    <w:p w14:paraId="26376E6E" w14:textId="77777777" w:rsid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4D697D73" w14:textId="25AECCB1" w:rsid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62DB0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2</w:t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โท</w:t>
      </w:r>
    </w:p>
    <w:p w14:paraId="5774AEC5" w14:textId="299A194C" w:rsidR="00C911C7" w:rsidRP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="00A02058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</w:p>
    <w:p w14:paraId="64EFA57A" w14:textId="77777777" w:rsid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2C95C52C" w14:textId="32619721" w:rsidR="00AB6E8C" w:rsidRPr="00C62DB0" w:rsidRDefault="00AB6E8C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08B9F304" w14:textId="102F5162" w:rsidR="00AB6E8C" w:rsidRPr="00C62DB0" w:rsidRDefault="00AB6E8C" w:rsidP="00A02058">
      <w:pPr>
        <w:pStyle w:val="ListParagraph"/>
        <w:numPr>
          <w:ilvl w:val="0"/>
          <w:numId w:val="2"/>
        </w:numPr>
        <w:spacing w:after="0" w:line="240" w:lineRule="auto"/>
        <w:ind w:left="1560"/>
        <w:rPr>
          <w:rFonts w:ascii="TH SarabunPSK" w:eastAsiaTheme="minorHAnsi" w:hAnsi="TH SarabunPSK" w:cs="TH SarabunPSK"/>
          <w:sz w:val="32"/>
          <w:szCs w:val="32"/>
        </w:rPr>
      </w:pPr>
      <w:r w:rsidRPr="00C62DB0">
        <w:rPr>
          <w:rFonts w:ascii="TH SarabunPSK" w:eastAsiaTheme="minorHAnsi" w:hAnsi="TH SarabunPSK" w:cs="TH SarabunPSK"/>
          <w:sz w:val="32"/>
          <w:szCs w:val="32"/>
        </w:rPr>
        <w:t>Isolation of plant constituents with TRAIL</w:t>
      </w:r>
      <w:r w:rsidRPr="00C62DB0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Pr="00C62DB0">
        <w:rPr>
          <w:rFonts w:ascii="TH SarabunPSK" w:eastAsiaTheme="minorHAnsi" w:hAnsi="TH SarabunPSK" w:cs="TH SarabunPSK"/>
          <w:sz w:val="32"/>
          <w:szCs w:val="32"/>
        </w:rPr>
        <w:t>resistance</w:t>
      </w:r>
      <w:r w:rsidRPr="00C62DB0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Pr="00C62DB0">
        <w:rPr>
          <w:rFonts w:ascii="TH SarabunPSK" w:eastAsiaTheme="minorHAnsi" w:hAnsi="TH SarabunPSK" w:cs="TH SarabunPSK"/>
          <w:sz w:val="32"/>
          <w:szCs w:val="32"/>
        </w:rPr>
        <w:t xml:space="preserve">overcoming activity and study on </w:t>
      </w:r>
      <w:r w:rsidRPr="00C62DB0">
        <w:rPr>
          <w:rFonts w:ascii="TH SarabunPSK" w:eastAsiaTheme="minorHAnsi" w:hAnsi="TH SarabunPSK" w:cs="TH SarabunPSK"/>
          <w:sz w:val="32"/>
          <w:szCs w:val="32"/>
          <w:cs/>
        </w:rPr>
        <w:t>18</w:t>
      </w:r>
      <w:r w:rsidRPr="00C62DB0">
        <w:rPr>
          <w:rFonts w:eastAsiaTheme="minorHAnsi" w:cs="Calibri"/>
          <w:sz w:val="32"/>
          <w:szCs w:val="32"/>
        </w:rPr>
        <w:t>α</w:t>
      </w:r>
      <w:r w:rsidRPr="00C62DB0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Pr="00C62DB0">
        <w:rPr>
          <w:rFonts w:ascii="TH SarabunPSK" w:eastAsiaTheme="minorHAnsi" w:hAnsi="TH SarabunPSK" w:cs="TH SarabunPSK"/>
          <w:sz w:val="32"/>
          <w:szCs w:val="32"/>
        </w:rPr>
        <w:t>glycyrrhizin</w:t>
      </w:r>
    </w:p>
    <w:p w14:paraId="60ACA59C" w14:textId="2CE4E32B" w:rsidR="00AB6E8C" w:rsidRPr="00C62DB0" w:rsidRDefault="00AB6E8C" w:rsidP="00A02058">
      <w:pPr>
        <w:pStyle w:val="ListParagraph"/>
        <w:numPr>
          <w:ilvl w:val="0"/>
          <w:numId w:val="2"/>
        </w:numPr>
        <w:spacing w:after="0" w:line="240" w:lineRule="auto"/>
        <w:ind w:left="1560"/>
        <w:rPr>
          <w:rFonts w:ascii="TH SarabunPSK" w:eastAsiaTheme="minorHAnsi" w:hAnsi="TH SarabunPSK" w:cs="TH SarabunPSK"/>
          <w:sz w:val="32"/>
          <w:szCs w:val="32"/>
        </w:rPr>
      </w:pPr>
      <w:r w:rsidRPr="00C62DB0">
        <w:rPr>
          <w:rFonts w:ascii="TH SarabunPSK" w:eastAsiaTheme="minorHAnsi" w:hAnsi="TH SarabunPSK" w:cs="TH SarabunPSK"/>
          <w:sz w:val="32"/>
          <w:szCs w:val="32"/>
        </w:rPr>
        <w:t>Experimental design for optimization of bioactive compound extraction from peanut kernels</w:t>
      </w:r>
    </w:p>
    <w:p w14:paraId="5F619B4B" w14:textId="77777777" w:rsidR="00C911C7" w:rsidRDefault="00C911C7" w:rsidP="00A0205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14:paraId="5A5A449C" w14:textId="6EA462F4" w:rsidR="00AB6E8C" w:rsidRPr="00C62DB0" w:rsidRDefault="00AB6E8C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62DB0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5.4 ผลงานที่เกี่ยวข้</w:t>
      </w:r>
      <w:r w:rsidR="00C911C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540706F0" w14:textId="6185137E" w:rsidR="00AB6E8C" w:rsidRPr="00C62DB0" w:rsidRDefault="00AB6E8C" w:rsidP="581E8E5C">
      <w:pPr>
        <w:pStyle w:val="ListParagraph"/>
        <w:numPr>
          <w:ilvl w:val="0"/>
          <w:numId w:val="4"/>
        </w:numPr>
        <w:spacing w:after="0" w:line="240" w:lineRule="auto"/>
        <w:ind w:left="1560"/>
        <w:rPr>
          <w:rFonts w:ascii="TH SarabunPSK" w:eastAsiaTheme="minorEastAsia" w:hAnsi="TH SarabunPSK" w:cs="TH SarabunPSK"/>
          <w:sz w:val="32"/>
          <w:szCs w:val="32"/>
        </w:rPr>
      </w:pPr>
      <w:r w:rsidRPr="581E8E5C">
        <w:rPr>
          <w:rFonts w:ascii="TH SarabunPSK" w:eastAsiaTheme="minorEastAsia" w:hAnsi="TH SarabunPSK" w:cs="TH SarabunPSK"/>
          <w:b/>
          <w:bCs/>
          <w:sz w:val="32"/>
          <w:szCs w:val="32"/>
        </w:rPr>
        <w:t>Jitrangsri K,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 Chaidedgumjorn A, &amp;Satiraphan M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(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2022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)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Experimental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>design for solid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>liquid extraction from peanut kernel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: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Optimization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>through variability in antioxidant potential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 s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cience,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</w:rPr>
        <w:t>Engineering and Health Studies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,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>16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,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22050015.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https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://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doi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org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/10.14456/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sehs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.2022.39</w:t>
      </w:r>
    </w:p>
    <w:p w14:paraId="2CA1FF1A" w14:textId="65B05914" w:rsidR="00AB6E8C" w:rsidRPr="00C62DB0" w:rsidRDefault="00AB6E8C" w:rsidP="581E8E5C">
      <w:pPr>
        <w:pStyle w:val="ListParagraph"/>
        <w:numPr>
          <w:ilvl w:val="0"/>
          <w:numId w:val="4"/>
        </w:numPr>
        <w:spacing w:after="0" w:line="240" w:lineRule="auto"/>
        <w:ind w:left="156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581E8E5C">
        <w:rPr>
          <w:rFonts w:ascii="TH SarabunPSK" w:eastAsiaTheme="minorEastAsia" w:hAnsi="TH SarabunPSK" w:cs="TH SarabunPSK"/>
          <w:b/>
          <w:bCs/>
          <w:sz w:val="32"/>
          <w:szCs w:val="32"/>
        </w:rPr>
        <w:t>Jitrangsri K,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 Kamata K, Akiba M, Yajiri Y, Ishibashi M, Tatsuzaki J, &amp;Ishikawa T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(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2022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)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Is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18</w:t>
      </w:r>
      <w:r w:rsidR="00BF1921" w:rsidRPr="581E8E5C">
        <w:rPr>
          <w:rFonts w:eastAsiaTheme="minorEastAsia" w:cs="Calibri"/>
          <w:sz w:val="32"/>
          <w:szCs w:val="32"/>
        </w:rPr>
        <w:t>Α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Glycyrrhizin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 xml:space="preserve">a real natural product?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improved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 xml:space="preserve">preparation of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18</w:t>
      </w:r>
      <w:r w:rsidR="00BF1921" w:rsidRPr="581E8E5C">
        <w:rPr>
          <w:rFonts w:eastAsiaTheme="minorEastAsia" w:cs="Calibri"/>
          <w:sz w:val="32"/>
          <w:szCs w:val="32"/>
        </w:rPr>
        <w:t>α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glycyrrhizin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 xml:space="preserve">from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18</w:t>
      </w:r>
      <w:r w:rsidR="00BF1921" w:rsidRPr="581E8E5C">
        <w:rPr>
          <w:rFonts w:eastAsiaTheme="minorEastAsia" w:cs="Calibri"/>
          <w:sz w:val="32"/>
          <w:szCs w:val="32"/>
        </w:rPr>
        <w:t>β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glycyrrhizin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 xml:space="preserve">as a positive standard for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hplc 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>analysis of licorice extracts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</w:rPr>
        <w:t>Journal of Natural Medicines,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>76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,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367–378.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https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://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doi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org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/10.1007/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11418-021-01589-9</w:t>
      </w:r>
    </w:p>
    <w:p w14:paraId="5DC46116" w14:textId="12C08D62" w:rsidR="00AB6E8C" w:rsidRPr="00C62DB0" w:rsidRDefault="00AB6E8C" w:rsidP="581E8E5C">
      <w:pPr>
        <w:pStyle w:val="ListParagraph"/>
        <w:numPr>
          <w:ilvl w:val="0"/>
          <w:numId w:val="4"/>
        </w:numPr>
        <w:spacing w:after="0" w:line="240" w:lineRule="auto"/>
        <w:ind w:left="1560"/>
        <w:rPr>
          <w:rFonts w:ascii="TH SarabunPSK" w:eastAsiaTheme="minorEastAsia" w:hAnsi="TH SarabunPSK" w:cs="TH SarabunPSK"/>
          <w:sz w:val="32"/>
          <w:szCs w:val="32"/>
        </w:rPr>
      </w:pPr>
      <w:r w:rsidRPr="581E8E5C">
        <w:rPr>
          <w:rFonts w:ascii="TH SarabunPSK" w:eastAsiaTheme="minorEastAsia" w:hAnsi="TH SarabunPSK" w:cs="TH SarabunPSK"/>
          <w:b/>
          <w:bCs/>
          <w:sz w:val="32"/>
          <w:szCs w:val="32"/>
        </w:rPr>
        <w:t>Jitrangsri K,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 Takaya A, Hara Y, Sadhu SK, Ahmed F, &amp;Ishibashi M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(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2021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)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Bioactivity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guided isolation of trail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resistance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overcoming activity compounds from the leaves of murraya exotic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</w:rPr>
        <w:t>a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 xml:space="preserve">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</w:rPr>
        <w:t>Natural Product Communications,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FE7EEB" w:rsidRPr="581E8E5C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>1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>6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(12).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https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://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doi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org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/10.1177/1934578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X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211065843</w:t>
      </w:r>
    </w:p>
    <w:p w14:paraId="51CD5E43" w14:textId="431318CE" w:rsidR="00AB6E8C" w:rsidRPr="00C62DB0" w:rsidRDefault="00AB6E8C" w:rsidP="581E8E5C">
      <w:pPr>
        <w:pStyle w:val="ListParagraph"/>
        <w:numPr>
          <w:ilvl w:val="0"/>
          <w:numId w:val="4"/>
        </w:numPr>
        <w:spacing w:after="0" w:line="240" w:lineRule="auto"/>
        <w:ind w:left="156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581E8E5C">
        <w:rPr>
          <w:rFonts w:ascii="TH SarabunPSK" w:eastAsiaTheme="minorEastAsia" w:hAnsi="TH SarabunPSK" w:cs="TH SarabunPSK"/>
          <w:b/>
          <w:bCs/>
          <w:sz w:val="32"/>
          <w:szCs w:val="32"/>
        </w:rPr>
        <w:t>Jitrangsri K,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 Chaidedgumjorn A, &amp;Satiraphan M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(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2020</w:t>
      </w:r>
      <w:r w:rsidR="00DF3512" w:rsidRPr="581E8E5C">
        <w:rPr>
          <w:rFonts w:ascii="TH SarabunPSK" w:eastAsiaTheme="minorEastAsia" w:hAnsi="TH SarabunPSK" w:cs="TH SarabunPSK"/>
          <w:sz w:val="32"/>
          <w:szCs w:val="32"/>
          <w:cs/>
        </w:rPr>
        <w:t>)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Effect </w:t>
      </w:r>
      <w:r w:rsidR="003B5AE1" w:rsidRPr="581E8E5C">
        <w:rPr>
          <w:rFonts w:ascii="TH SarabunPSK" w:eastAsiaTheme="minorEastAsia" w:hAnsi="TH SarabunPSK" w:cs="TH SarabunPSK"/>
          <w:sz w:val="32"/>
          <w:szCs w:val="32"/>
        </w:rPr>
        <w:t>o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 xml:space="preserve">f ethanol percentage upon various extraction methods of peanut based on antioxidant activity with </w:t>
      </w:r>
      <w:r w:rsidR="00BF1921" w:rsidRPr="581E8E5C">
        <w:rPr>
          <w:rFonts w:ascii="TH SarabunPSK" w:eastAsiaTheme="minorEastAsia" w:hAnsi="TH SarabunPSK" w:cs="TH SarabunPSK"/>
          <w:i/>
          <w:iCs/>
          <w:sz w:val="32"/>
          <w:szCs w:val="32"/>
        </w:rPr>
        <w:t>trans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-</w:t>
      </w:r>
      <w:r w:rsidR="00BF1921" w:rsidRPr="581E8E5C">
        <w:rPr>
          <w:rFonts w:ascii="TH SarabunPSK" w:eastAsiaTheme="minorEastAsia" w:hAnsi="TH SarabunPSK" w:cs="TH SarabunPSK"/>
          <w:sz w:val="32"/>
          <w:szCs w:val="32"/>
        </w:rPr>
        <w:t>resveratrol and total phenolic contents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.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</w:rPr>
        <w:t xml:space="preserve">Pharmaceutical Sciences Asia, </w:t>
      </w:r>
      <w:r w:rsidRPr="581E8E5C">
        <w:rPr>
          <w:rFonts w:ascii="TH SarabunPSK" w:eastAsiaTheme="minorEastAsia" w:hAnsi="TH SarabunPSK" w:cs="TH SarabunPSK"/>
          <w:i/>
          <w:iCs/>
          <w:sz w:val="32"/>
          <w:szCs w:val="32"/>
          <w:cs/>
        </w:rPr>
        <w:t xml:space="preserve">47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(2)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 xml:space="preserve">, 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 xml:space="preserve">164-172. 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https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://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doi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org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/10.29090/</w:t>
      </w:r>
      <w:r w:rsidRPr="581E8E5C">
        <w:rPr>
          <w:rFonts w:ascii="TH SarabunPSK" w:eastAsiaTheme="minorEastAsia" w:hAnsi="TH SarabunPSK" w:cs="TH SarabunPSK"/>
          <w:sz w:val="32"/>
          <w:szCs w:val="32"/>
        </w:rPr>
        <w:t>psa</w:t>
      </w:r>
      <w:r w:rsidRPr="581E8E5C">
        <w:rPr>
          <w:rFonts w:ascii="TH SarabunPSK" w:eastAsiaTheme="minorEastAsia" w:hAnsi="TH SarabunPSK" w:cs="TH SarabunPSK"/>
          <w:sz w:val="32"/>
          <w:szCs w:val="32"/>
          <w:cs/>
        </w:rPr>
        <w:t>.2020.02.018.0056</w:t>
      </w:r>
    </w:p>
    <w:p w14:paraId="4EA5FEF0" w14:textId="77777777" w:rsidR="00AB6E8C" w:rsidRPr="00C62DB0" w:rsidRDefault="00AB6E8C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83E2B8" w14:textId="77777777" w:rsidR="00AB6E8C" w:rsidRPr="00C62DB0" w:rsidRDefault="00AB6E8C" w:rsidP="00A02058">
      <w:pPr>
        <w:spacing w:after="0" w:line="240" w:lineRule="auto"/>
        <w:jc w:val="thaiDistribute"/>
        <w:rPr>
          <w:rFonts w:ascii="TH SarabunPSK" w:eastAsiaTheme="minorHAnsi" w:hAnsi="TH SarabunPSK" w:cs="TH SarabunPSK"/>
          <w:color w:val="FF0000"/>
          <w:sz w:val="32"/>
          <w:szCs w:val="32"/>
        </w:rPr>
      </w:pPr>
      <w:r w:rsidRPr="00C62DB0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6</w:t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C62DB0">
        <w:rPr>
          <w:rFonts w:ascii="TH SarabunPSK" w:eastAsiaTheme="minorHAnsi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C62DB0">
        <w:rPr>
          <w:rFonts w:ascii="TH SarabunPSK" w:eastAsiaTheme="minorHAnsi" w:hAnsi="TH SarabunPSK" w:cs="TH SarabunPSK"/>
          <w:color w:val="FF0000"/>
          <w:sz w:val="32"/>
          <w:szCs w:val="32"/>
          <w:cs/>
        </w:rPr>
        <w:t xml:space="preserve"> </w:t>
      </w:r>
    </w:p>
    <w:p w14:paraId="529D55AE" w14:textId="77777777" w:rsidR="00AB6E8C" w:rsidRPr="00C62DB0" w:rsidRDefault="00AB6E8C" w:rsidP="00A02058">
      <w:pPr>
        <w:pStyle w:val="Title"/>
        <w:ind w:left="720"/>
        <w:jc w:val="thaiDistribute"/>
        <w:rPr>
          <w:rFonts w:ascii="TH SarabunPSK" w:eastAsiaTheme="minorHAnsi" w:hAnsi="TH SarabunPSK" w:cs="TH SarabunPSK"/>
        </w:rPr>
      </w:pPr>
      <w:bookmarkStart w:id="2" w:name="_Hlk85219042"/>
      <w:bookmarkStart w:id="3" w:name="_Hlk85219020"/>
      <w:r w:rsidRPr="00C62DB0">
        <w:rPr>
          <w:rFonts w:ascii="TH SarabunPSK" w:eastAsiaTheme="minorHAnsi" w:hAnsi="TH SarabunPSK" w:cs="TH SarabunPSK"/>
        </w:rPr>
        <w:t>6</w:t>
      </w:r>
      <w:r w:rsidRPr="00C62DB0">
        <w:rPr>
          <w:rFonts w:ascii="TH SarabunPSK" w:eastAsiaTheme="minorHAnsi" w:hAnsi="TH SarabunPSK" w:cs="TH SarabunPSK"/>
          <w:cs/>
        </w:rPr>
        <w:t>.</w:t>
      </w:r>
      <w:r w:rsidRPr="00C62DB0">
        <w:rPr>
          <w:rFonts w:ascii="TH SarabunPSK" w:eastAsiaTheme="minorHAnsi" w:hAnsi="TH SarabunPSK" w:cs="TH SarabunPSK"/>
        </w:rPr>
        <w:t xml:space="preserve">1 </w:t>
      </w:r>
      <w:r w:rsidRPr="00C62DB0">
        <w:rPr>
          <w:rFonts w:ascii="TH SarabunPSK" w:eastAsiaTheme="minorHAnsi" w:hAnsi="TH SarabunPSK" w:cs="TH SarabunPSK"/>
          <w:cs/>
        </w:rPr>
        <w:t xml:space="preserve">บทความวิจัย/บทความวิชาการ ที่ตีพิมพ์เผยแพร่ในวารสาร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5041"/>
        <w:gridCol w:w="1039"/>
        <w:gridCol w:w="1053"/>
        <w:gridCol w:w="1223"/>
      </w:tblGrid>
      <w:tr w:rsidR="00AB6E8C" w:rsidRPr="000661BE" w14:paraId="3056615D" w14:textId="77777777" w:rsidTr="00611EDB">
        <w:trPr>
          <w:tblHeader/>
          <w:jc w:val="center"/>
        </w:trPr>
        <w:tc>
          <w:tcPr>
            <w:tcW w:w="366" w:type="pct"/>
            <w:vMerge w:val="restart"/>
          </w:tcPr>
          <w:p w14:paraId="2FA0FAC9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796" w:type="pct"/>
            <w:vMerge w:val="restart"/>
          </w:tcPr>
          <w:p w14:paraId="4DC1B07C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บทความวิจัย/บทความวิชาการ</w:t>
            </w:r>
          </w:p>
          <w:p w14:paraId="1A9C591E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ที่ตีพิมพ์เผยแพร่ในวารสาร</w:t>
            </w:r>
          </w:p>
        </w:tc>
        <w:tc>
          <w:tcPr>
            <w:tcW w:w="576" w:type="pct"/>
            <w:vMerge w:val="restart"/>
          </w:tcPr>
          <w:p w14:paraId="3BD7CA86" w14:textId="5111B57D" w:rsidR="00AB6E8C" w:rsidRPr="000661BE" w:rsidRDefault="008934F1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1262" w:type="pct"/>
            <w:gridSpan w:val="2"/>
          </w:tcPr>
          <w:p w14:paraId="60814E6B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การเผยแพร่</w:t>
            </w:r>
          </w:p>
          <w:p w14:paraId="5BAA539C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</w:tr>
      <w:tr w:rsidR="00AB6E8C" w:rsidRPr="000661BE" w14:paraId="3121463B" w14:textId="77777777" w:rsidTr="00611EDB">
        <w:trPr>
          <w:jc w:val="center"/>
        </w:trPr>
        <w:tc>
          <w:tcPr>
            <w:tcW w:w="366" w:type="pct"/>
            <w:vMerge/>
          </w:tcPr>
          <w:p w14:paraId="7CE1F084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2796" w:type="pct"/>
            <w:vMerge/>
          </w:tcPr>
          <w:p w14:paraId="02D4FFF4" w14:textId="77777777" w:rsidR="00AB6E8C" w:rsidRPr="000661BE" w:rsidRDefault="00AB6E8C" w:rsidP="008720CF">
            <w:pPr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576" w:type="pct"/>
            <w:vMerge/>
          </w:tcPr>
          <w:p w14:paraId="406BDAD4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584" w:type="pct"/>
          </w:tcPr>
          <w:p w14:paraId="04B6D0C9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78" w:type="pct"/>
          </w:tcPr>
          <w:p w14:paraId="74746A5C" w14:textId="77777777" w:rsidR="00AB6E8C" w:rsidRPr="000661BE" w:rsidRDefault="00AB6E8C" w:rsidP="008720CF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A2851" w:rsidRPr="000661BE" w14:paraId="58EFFCC4" w14:textId="77777777" w:rsidTr="00611EDB">
        <w:trPr>
          <w:jc w:val="center"/>
        </w:trPr>
        <w:tc>
          <w:tcPr>
            <w:tcW w:w="366" w:type="pct"/>
          </w:tcPr>
          <w:p w14:paraId="52B9EE0F" w14:textId="081B7C44" w:rsidR="008A2851" w:rsidRPr="000661BE" w:rsidRDefault="008A2851" w:rsidP="008720CF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796" w:type="pct"/>
          </w:tcPr>
          <w:p w14:paraId="41EE992E" w14:textId="0B82E2F1" w:rsidR="008A2851" w:rsidRPr="000661BE" w:rsidRDefault="008A2851" w:rsidP="008720C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Pichayakorn W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Senarat 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,&amp; Phaechamud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DF3512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2024</w:t>
            </w:r>
            <w:r w:rsidR="00DF3512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Rubber </w:t>
            </w:r>
            <w:r w:rsidR="00BF1921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oily liquids as transdermal and periodontal pocket drug delivery systems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International Journal of Biological Macromolecules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2024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273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133237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1016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j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ijbiomac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2024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133237</w:t>
            </w:r>
          </w:p>
        </w:tc>
        <w:tc>
          <w:tcPr>
            <w:tcW w:w="576" w:type="pct"/>
          </w:tcPr>
          <w:p w14:paraId="79774A7B" w14:textId="107BC4FF" w:rsidR="008A2851" w:rsidRPr="008934F1" w:rsidRDefault="008A2851" w:rsidP="008720CF">
            <w:pPr>
              <w:ind w:right="-9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7071498A" w14:textId="1824855F" w:rsidR="008A2851" w:rsidRPr="000661BE" w:rsidRDefault="00611EDB" w:rsidP="008720CF">
            <w:pPr>
              <w:ind w:left="-99" w:right="-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78" w:type="pct"/>
          </w:tcPr>
          <w:p w14:paraId="451F32E3" w14:textId="5EA7D9CB" w:rsidR="008A2851" w:rsidRPr="000661BE" w:rsidRDefault="00611EDB" w:rsidP="008720CF">
            <w:pPr>
              <w:ind w:left="-41" w:right="-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กรกฎาคม</w:t>
            </w:r>
          </w:p>
        </w:tc>
      </w:tr>
      <w:tr w:rsidR="00611EDB" w:rsidRPr="000661BE" w14:paraId="273785C5" w14:textId="77777777" w:rsidTr="00611EDB">
        <w:trPr>
          <w:jc w:val="center"/>
        </w:trPr>
        <w:tc>
          <w:tcPr>
            <w:tcW w:w="366" w:type="pct"/>
          </w:tcPr>
          <w:p w14:paraId="500DA013" w14:textId="217B00D1" w:rsidR="00611EDB" w:rsidRPr="000661BE" w:rsidRDefault="00611EDB" w:rsidP="00611EDB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796" w:type="pct"/>
          </w:tcPr>
          <w:p w14:paraId="35C2E7A6" w14:textId="3748EFF9" w:rsidR="00611EDB" w:rsidRPr="000661BE" w:rsidRDefault="00611EDB" w:rsidP="00611EDB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Khaing EM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Senarat 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&amp;Phaechamud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2024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Fluconazole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loaded ibuprofen in situ gel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based oral spray for oropharyngeal candidiasis treatment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AAPS PharmSciTech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25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5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89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1208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s12249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024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02804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y</w:t>
            </w:r>
          </w:p>
        </w:tc>
        <w:tc>
          <w:tcPr>
            <w:tcW w:w="576" w:type="pct"/>
          </w:tcPr>
          <w:p w14:paraId="113D909E" w14:textId="7DEF57AC" w:rsidR="00611EDB" w:rsidRPr="008934F1" w:rsidRDefault="00611EDB" w:rsidP="00611EDB">
            <w:pPr>
              <w:ind w:right="-9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01E1B18D" w14:textId="77E39B25" w:rsidR="00611EDB" w:rsidRPr="000661BE" w:rsidRDefault="00611EDB" w:rsidP="00611EDB">
            <w:pPr>
              <w:ind w:left="-99" w:right="-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65EB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78" w:type="pct"/>
          </w:tcPr>
          <w:p w14:paraId="4A6531E2" w14:textId="718AEB5E" w:rsidR="00611EDB" w:rsidRPr="000661BE" w:rsidRDefault="00611EDB" w:rsidP="00611EDB">
            <w:pPr>
              <w:ind w:left="-41" w:right="-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เมษายน</w:t>
            </w:r>
          </w:p>
        </w:tc>
      </w:tr>
      <w:tr w:rsidR="00611EDB" w:rsidRPr="000661BE" w14:paraId="32F24ADD" w14:textId="77777777" w:rsidTr="00611EDB">
        <w:trPr>
          <w:jc w:val="center"/>
        </w:trPr>
        <w:tc>
          <w:tcPr>
            <w:tcW w:w="366" w:type="pct"/>
          </w:tcPr>
          <w:p w14:paraId="18D0F9A2" w14:textId="06DB09AD" w:rsidR="00611EDB" w:rsidRPr="000661BE" w:rsidRDefault="00611EDB" w:rsidP="00611EDB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796" w:type="pct"/>
          </w:tcPr>
          <w:p w14:paraId="24057DDE" w14:textId="042AF4AF" w:rsidR="00611EDB" w:rsidRPr="000661BE" w:rsidRDefault="00611EDB" w:rsidP="00611EDB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Khaing EM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Chomto P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,&amp; Phaechamud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2024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Nitrocellulose for prolonged permeation of levofloxacin hcl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salicylic acid in situ gel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Polymers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16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7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989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3390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polym16070989</w:t>
            </w:r>
          </w:p>
        </w:tc>
        <w:tc>
          <w:tcPr>
            <w:tcW w:w="576" w:type="pct"/>
          </w:tcPr>
          <w:p w14:paraId="01BA621A" w14:textId="3804C8BF" w:rsidR="00611EDB" w:rsidRPr="008934F1" w:rsidRDefault="00611EDB" w:rsidP="00611EDB">
            <w:pPr>
              <w:ind w:right="-9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6652389D" w14:textId="7EC7DECB" w:rsidR="00611EDB" w:rsidRPr="000661BE" w:rsidRDefault="00611EDB" w:rsidP="00611EDB">
            <w:pPr>
              <w:ind w:left="-99" w:right="-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65EB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78" w:type="pct"/>
          </w:tcPr>
          <w:p w14:paraId="7B52CF94" w14:textId="3A74E69A" w:rsidR="00611EDB" w:rsidRPr="000661BE" w:rsidRDefault="00611EDB" w:rsidP="00611EDB">
            <w:pPr>
              <w:ind w:left="-41" w:right="-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เมษายน</w:t>
            </w:r>
          </w:p>
        </w:tc>
      </w:tr>
      <w:tr w:rsidR="001C7DE4" w:rsidRPr="000661BE" w14:paraId="7A35A2A7" w14:textId="77777777" w:rsidTr="00611EDB">
        <w:trPr>
          <w:jc w:val="center"/>
        </w:trPr>
        <w:tc>
          <w:tcPr>
            <w:tcW w:w="366" w:type="pct"/>
          </w:tcPr>
          <w:p w14:paraId="6490142E" w14:textId="0D42DA55" w:rsidR="001C7DE4" w:rsidRPr="000661BE" w:rsidRDefault="001C7DE4" w:rsidP="008720CF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796" w:type="pct"/>
          </w:tcPr>
          <w:p w14:paraId="0663253F" w14:textId="7EF98D26" w:rsidR="001C7DE4" w:rsidRPr="000661BE" w:rsidRDefault="001C7DE4" w:rsidP="008720CF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Lertsuphotvanit N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Kabthong N, &amp;Phaechamud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DF3512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2023</w:t>
            </w:r>
            <w:r w:rsidR="00DF3512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Metronidazole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loaded camphor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based in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situ forming matrix for periodontitis treatment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AAPS Pharm Sci Tech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2023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24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185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1208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s12249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023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02640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576" w:type="pct"/>
          </w:tcPr>
          <w:p w14:paraId="24989105" w14:textId="77777777" w:rsidR="001C7DE4" w:rsidRPr="008934F1" w:rsidRDefault="001C7DE4" w:rsidP="008720CF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0C0029F6" w14:textId="3AE5B54C" w:rsidR="001C7DE4" w:rsidRPr="000661BE" w:rsidRDefault="00611EDB" w:rsidP="008720CF">
            <w:pPr>
              <w:ind w:left="-99"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2566</w:t>
            </w:r>
          </w:p>
        </w:tc>
        <w:tc>
          <w:tcPr>
            <w:tcW w:w="678" w:type="pct"/>
          </w:tcPr>
          <w:p w14:paraId="7D567E3B" w14:textId="6CB88089" w:rsidR="001C7DE4" w:rsidRPr="000661BE" w:rsidRDefault="00611EDB" w:rsidP="008720CF">
            <w:pPr>
              <w:ind w:left="-41"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กันยายน</w:t>
            </w:r>
          </w:p>
        </w:tc>
      </w:tr>
      <w:tr w:rsidR="00611EDB" w:rsidRPr="000661BE" w14:paraId="45FAD4F9" w14:textId="77777777" w:rsidTr="00611EDB">
        <w:trPr>
          <w:jc w:val="center"/>
        </w:trPr>
        <w:tc>
          <w:tcPr>
            <w:tcW w:w="366" w:type="pct"/>
          </w:tcPr>
          <w:p w14:paraId="76ADDF5E" w14:textId="58BEB755" w:rsidR="00611EDB" w:rsidRPr="000661BE" w:rsidRDefault="00611EDB" w:rsidP="00611EDB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796" w:type="pct"/>
          </w:tcPr>
          <w:p w14:paraId="075F1F59" w14:textId="46A8F81F" w:rsidR="00611EDB" w:rsidRPr="000661BE" w:rsidRDefault="00611EDB" w:rsidP="00611EDB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Khaing EM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Intaraphairot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Phaechamud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,&amp; Mahadlek J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2023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Injectable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gamboge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based in situ gel for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sustained delivery of imatinib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mesylate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Gels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9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9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737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3390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gels9090737</w:t>
            </w:r>
          </w:p>
        </w:tc>
        <w:tc>
          <w:tcPr>
            <w:tcW w:w="576" w:type="pct"/>
          </w:tcPr>
          <w:p w14:paraId="67425918" w14:textId="77777777" w:rsidR="00611EDB" w:rsidRPr="008934F1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7760DDA9" w14:textId="2F1E29B4" w:rsidR="00611EDB" w:rsidRPr="000661BE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EE76D7">
              <w:rPr>
                <w:rFonts w:ascii="TH SarabunPSK" w:hAnsi="TH SarabunPSK" w:cs="TH SarabunPSK" w:hint="cs"/>
                <w:sz w:val="28"/>
                <w:szCs w:val="28"/>
                <w:cs/>
              </w:rPr>
              <w:t>2566</w:t>
            </w:r>
          </w:p>
        </w:tc>
        <w:tc>
          <w:tcPr>
            <w:tcW w:w="678" w:type="pct"/>
          </w:tcPr>
          <w:p w14:paraId="5A248478" w14:textId="14B753F0" w:rsidR="00611EDB" w:rsidRPr="000661BE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กันยายน</w:t>
            </w:r>
          </w:p>
        </w:tc>
      </w:tr>
      <w:tr w:rsidR="00611EDB" w:rsidRPr="000661BE" w14:paraId="6A217BDF" w14:textId="77777777" w:rsidTr="00611EDB">
        <w:trPr>
          <w:jc w:val="center"/>
        </w:trPr>
        <w:tc>
          <w:tcPr>
            <w:tcW w:w="366" w:type="pct"/>
          </w:tcPr>
          <w:p w14:paraId="42C92514" w14:textId="278C2A85" w:rsidR="00611EDB" w:rsidRPr="000661BE" w:rsidRDefault="00611EDB" w:rsidP="00611EDB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796" w:type="pct"/>
          </w:tcPr>
          <w:p w14:paraId="39A05B30" w14:textId="5B4386EA" w:rsidR="00611EDB" w:rsidRPr="000661BE" w:rsidRDefault="00611EDB" w:rsidP="00611EDB">
            <w:pPr>
              <w:pStyle w:val="Title"/>
              <w:ind w:left="11" w:hanging="1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Lertsuphotvanit N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Tuntarawongsa 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Phaechamud T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2023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).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Clotrimazole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loaded borneol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based in situ forming gel as oral sprays for oropharyngeal candidiasis therapy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Gels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9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5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412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dx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3390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gels9050412</w:t>
            </w:r>
          </w:p>
        </w:tc>
        <w:tc>
          <w:tcPr>
            <w:tcW w:w="576" w:type="pct"/>
          </w:tcPr>
          <w:p w14:paraId="57D721FE" w14:textId="77777777" w:rsidR="00611EDB" w:rsidRPr="008934F1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733FFA24" w14:textId="3AE6CBB6" w:rsidR="00611EDB" w:rsidRPr="000661BE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EE76D7">
              <w:rPr>
                <w:rFonts w:ascii="TH SarabunPSK" w:hAnsi="TH SarabunPSK" w:cs="TH SarabunPSK" w:hint="cs"/>
                <w:sz w:val="28"/>
                <w:szCs w:val="28"/>
                <w:cs/>
              </w:rPr>
              <w:t>2566</w:t>
            </w:r>
          </w:p>
        </w:tc>
        <w:tc>
          <w:tcPr>
            <w:tcW w:w="678" w:type="pct"/>
          </w:tcPr>
          <w:p w14:paraId="786C345B" w14:textId="33ADE0F4" w:rsidR="00611EDB" w:rsidRPr="000661BE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พฤษภาคม</w:t>
            </w:r>
          </w:p>
        </w:tc>
      </w:tr>
      <w:tr w:rsidR="001C7DE4" w:rsidRPr="000661BE" w14:paraId="24E2D938" w14:textId="77777777" w:rsidTr="00611EDB">
        <w:trPr>
          <w:jc w:val="center"/>
        </w:trPr>
        <w:tc>
          <w:tcPr>
            <w:tcW w:w="366" w:type="pct"/>
          </w:tcPr>
          <w:p w14:paraId="2199FABF" w14:textId="474806B5" w:rsidR="001C7DE4" w:rsidRPr="000661BE" w:rsidRDefault="001C7DE4" w:rsidP="008720CF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796" w:type="pct"/>
          </w:tcPr>
          <w:p w14:paraId="2B3537F9" w14:textId="489BAE0D" w:rsidR="001C7DE4" w:rsidRPr="000661BE" w:rsidRDefault="001C7DE4" w:rsidP="008720CF">
            <w:pPr>
              <w:pStyle w:val="Title"/>
              <w:ind w:left="11" w:hanging="11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Chuprom J, Sangkanu S, Mitsuwan W, Boonhok R, Mahabusarakam W, Singh LR, Dumkliang E, </w:t>
            </w: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Paul AK, Surinkaew S, Wilairatana P, Pereira MdL, Rahmatullah M, Wiart C, Oliveira SMR,&amp; Nissapatorn V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DF3512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2022</w:t>
            </w:r>
            <w:r w:rsidR="00DF3512"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Anti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acanthamoeba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a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ctivity of a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emi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synthetic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m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angostin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erivative and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i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ts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a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bility in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r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emoval of acanthamoeba triangularis wu19001 on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ontact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BF1921"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l</w:t>
            </w:r>
            <w:r w:rsidRPr="581E8E5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ns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PeerJ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10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e14468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7717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peerj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14468</w:t>
            </w:r>
          </w:p>
        </w:tc>
        <w:tc>
          <w:tcPr>
            <w:tcW w:w="576" w:type="pct"/>
          </w:tcPr>
          <w:p w14:paraId="33B102FB" w14:textId="77777777" w:rsidR="001C7DE4" w:rsidRPr="008934F1" w:rsidRDefault="001C7DE4" w:rsidP="008720CF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84" w:type="pct"/>
          </w:tcPr>
          <w:p w14:paraId="28CC2184" w14:textId="2F786958" w:rsidR="001C7DE4" w:rsidRPr="000661BE" w:rsidRDefault="00611EDB" w:rsidP="008720CF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2565</w:t>
            </w:r>
          </w:p>
        </w:tc>
        <w:tc>
          <w:tcPr>
            <w:tcW w:w="678" w:type="pct"/>
          </w:tcPr>
          <w:p w14:paraId="3A2E7F9F" w14:textId="14602CA7" w:rsidR="001C7DE4" w:rsidRPr="000661BE" w:rsidRDefault="00611EDB" w:rsidP="008720CF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ธันวาคม</w:t>
            </w:r>
          </w:p>
        </w:tc>
      </w:tr>
      <w:tr w:rsidR="00611EDB" w:rsidRPr="000661BE" w14:paraId="601142F0" w14:textId="77777777" w:rsidTr="00611EDB">
        <w:trPr>
          <w:jc w:val="center"/>
        </w:trPr>
        <w:tc>
          <w:tcPr>
            <w:tcW w:w="366" w:type="pct"/>
          </w:tcPr>
          <w:p w14:paraId="2DB406BF" w14:textId="31363827" w:rsidR="00611EDB" w:rsidRPr="000661BE" w:rsidRDefault="00611EDB" w:rsidP="00611EDB">
            <w:pPr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0661BE">
              <w:rPr>
                <w:rFonts w:ascii="TH SarabunPSK" w:eastAsiaTheme="minorHAnsi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796" w:type="pct"/>
          </w:tcPr>
          <w:p w14:paraId="6E739936" w14:textId="177109E8" w:rsidR="00611EDB" w:rsidRPr="000661BE" w:rsidRDefault="00611EDB" w:rsidP="00611EDB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0661BE">
              <w:rPr>
                <w:rFonts w:ascii="TH SarabunPSK" w:hAnsi="TH SarabunPSK" w:cs="TH SarabunPSK"/>
                <w:sz w:val="28"/>
                <w:szCs w:val="28"/>
              </w:rPr>
              <w:t>Jitrangsri K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Hara Y, Takaya A, &amp;Ishibashi M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 (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2022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).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New polyoxygenated cyclohexenes isolated from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uvaria rufa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lastRenderedPageBreak/>
              <w:t xml:space="preserve">and cinnamtannin b1 isolated from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nephelium hypoleucum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with trail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resistance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overcoming activity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Phytochemistry Letters,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581E8E5C">
              <w:rPr>
                <w:rFonts w:ascii="TH SarabunPSK" w:hAnsi="TH SarabunPSK" w:cs="TH SarabunPSK"/>
                <w:b w:val="0"/>
                <w:bCs w:val="0"/>
                <w:i/>
                <w:iCs/>
                <w:sz w:val="28"/>
                <w:szCs w:val="28"/>
              </w:rPr>
              <w:t>52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7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-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9</w:t>
            </w:r>
            <w:r w:rsidRPr="000661B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https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://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doi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org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1016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j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phytol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2022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08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 w:rsidRPr="00350419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010</w:t>
            </w:r>
          </w:p>
        </w:tc>
        <w:tc>
          <w:tcPr>
            <w:tcW w:w="576" w:type="pct"/>
          </w:tcPr>
          <w:p w14:paraId="63C9A5ED" w14:textId="77777777" w:rsidR="00611EDB" w:rsidRPr="008934F1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highlight w:val="yellow"/>
              </w:rPr>
            </w:pPr>
            <w:r w:rsidRPr="008934F1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lastRenderedPageBreak/>
              <w:t>12</w:t>
            </w:r>
          </w:p>
        </w:tc>
        <w:tc>
          <w:tcPr>
            <w:tcW w:w="584" w:type="pct"/>
          </w:tcPr>
          <w:p w14:paraId="49EF51EF" w14:textId="02E65989" w:rsidR="00611EDB" w:rsidRPr="000661BE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2565</w:t>
            </w:r>
          </w:p>
        </w:tc>
        <w:tc>
          <w:tcPr>
            <w:tcW w:w="678" w:type="pct"/>
          </w:tcPr>
          <w:p w14:paraId="7D2719AF" w14:textId="2D9B7A9D" w:rsidR="00611EDB" w:rsidRPr="000661BE" w:rsidRDefault="00611EDB" w:rsidP="00611EDB">
            <w:pPr>
              <w:ind w:right="-9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ธันวาคม</w:t>
            </w:r>
          </w:p>
        </w:tc>
      </w:tr>
      <w:bookmarkEnd w:id="2"/>
      <w:bookmarkEnd w:id="3"/>
    </w:tbl>
    <w:p w14:paraId="1141CE7A" w14:textId="77777777" w:rsidR="00AB6E8C" w:rsidRPr="00C62DB0" w:rsidRDefault="00AB6E8C" w:rsidP="00A020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9AD745" w14:textId="1EB07D1B" w:rsidR="00AB6E8C" w:rsidRPr="00C62DB0" w:rsidRDefault="00AB6E8C" w:rsidP="00A0205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62DB0">
        <w:rPr>
          <w:rFonts w:ascii="TH SarabunPSK" w:eastAsiaTheme="minorHAnsi" w:hAnsi="TH SarabunPSK" w:cs="TH SarabunPSK"/>
          <w:b/>
          <w:bCs/>
          <w:sz w:val="32"/>
          <w:szCs w:val="32"/>
        </w:rPr>
        <w:t>7</w:t>
      </w:r>
      <w:r w:rsidRPr="00C62DB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26"/>
        <w:gridCol w:w="2290"/>
      </w:tblGrid>
      <w:tr w:rsidR="00AB6E8C" w:rsidRPr="00CC6273" w14:paraId="6D019362" w14:textId="77777777" w:rsidTr="00CC6273">
        <w:trPr>
          <w:trHeight w:val="163"/>
          <w:tblHeader/>
        </w:trPr>
        <w:tc>
          <w:tcPr>
            <w:tcW w:w="3730" w:type="pct"/>
          </w:tcPr>
          <w:p w14:paraId="63412757" w14:textId="77777777" w:rsidR="00AB6E8C" w:rsidRPr="00CC6273" w:rsidRDefault="00AB6E8C" w:rsidP="00A0205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C62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270" w:type="pct"/>
          </w:tcPr>
          <w:p w14:paraId="558F1410" w14:textId="77777777" w:rsidR="00AB6E8C" w:rsidRPr="00CC6273" w:rsidRDefault="00AB6E8C" w:rsidP="00A0205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C62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ปี พ.ศ.</w:t>
            </w:r>
          </w:p>
        </w:tc>
      </w:tr>
      <w:tr w:rsidR="001C7DE4" w:rsidRPr="00CC6273" w14:paraId="1835BFA1" w14:textId="77777777" w:rsidTr="00CC6273">
        <w:tc>
          <w:tcPr>
            <w:tcW w:w="3730" w:type="pct"/>
          </w:tcPr>
          <w:p w14:paraId="4C801A79" w14:textId="49971840" w:rsidR="001C7DE4" w:rsidRPr="00CC6273" w:rsidRDefault="001C7DE4" w:rsidP="00A0205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C6273">
              <w:rPr>
                <w:rFonts w:ascii="TH SarabunPSK" w:hAnsi="TH SarabunPSK" w:cs="TH SarabunPSK"/>
                <w:sz w:val="28"/>
                <w:szCs w:val="28"/>
              </w:rPr>
              <w:t xml:space="preserve">Fellow, Advance Higher Education </w:t>
            </w:r>
            <w:r w:rsidRPr="00CC6273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CC6273">
              <w:rPr>
                <w:rFonts w:ascii="TH SarabunPSK" w:hAnsi="TH SarabunPSK" w:cs="TH SarabunPSK"/>
                <w:sz w:val="28"/>
                <w:szCs w:val="28"/>
              </w:rPr>
              <w:t>FHEA</w:t>
            </w:r>
            <w:r w:rsidRPr="00CC627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): </w:t>
            </w:r>
            <w:r w:rsidRPr="00CC6273">
              <w:rPr>
                <w:rFonts w:ascii="TH SarabunPSK" w:hAnsi="TH SarabunPSK" w:cs="TH SarabunPSK"/>
                <w:sz w:val="28"/>
                <w:szCs w:val="28"/>
              </w:rPr>
              <w:t>PR280460</w:t>
            </w:r>
          </w:p>
        </w:tc>
        <w:tc>
          <w:tcPr>
            <w:tcW w:w="1270" w:type="pct"/>
          </w:tcPr>
          <w:p w14:paraId="69846C25" w14:textId="79AF4111" w:rsidR="001C7DE4" w:rsidRPr="00CC6273" w:rsidRDefault="00F93DFF" w:rsidP="00A020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2567</w:t>
            </w:r>
          </w:p>
        </w:tc>
      </w:tr>
    </w:tbl>
    <w:p w14:paraId="3C83981F" w14:textId="77777777" w:rsidR="00BE326C" w:rsidRPr="00C62DB0" w:rsidRDefault="00BE326C" w:rsidP="00A0205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BE326C" w:rsidRPr="00C62D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44AB" w14:textId="77777777" w:rsidR="00837CD7" w:rsidRDefault="00837CD7" w:rsidP="004246D7">
      <w:pPr>
        <w:spacing w:after="0" w:line="240" w:lineRule="auto"/>
      </w:pPr>
      <w:r>
        <w:separator/>
      </w:r>
    </w:p>
  </w:endnote>
  <w:endnote w:type="continuationSeparator" w:id="0">
    <w:p w14:paraId="77A10D52" w14:textId="77777777" w:rsidR="00837CD7" w:rsidRDefault="00837CD7" w:rsidP="0042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H Sarabun New"/>
    <w:charset w:val="DE"/>
    <w:family w:val="auto"/>
    <w:pitch w:val="variable"/>
    <w:sig w:usb0="21000007" w:usb1="00000001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304D" w14:textId="77777777" w:rsidR="00837CD7" w:rsidRDefault="00837CD7" w:rsidP="004246D7">
      <w:pPr>
        <w:spacing w:after="0" w:line="240" w:lineRule="auto"/>
      </w:pPr>
      <w:r>
        <w:separator/>
      </w:r>
    </w:p>
  </w:footnote>
  <w:footnote w:type="continuationSeparator" w:id="0">
    <w:p w14:paraId="3AF78939" w14:textId="77777777" w:rsidR="00837CD7" w:rsidRDefault="00837CD7" w:rsidP="0042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165B"/>
    <w:multiLevelType w:val="hybridMultilevel"/>
    <w:tmpl w:val="9176C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65C"/>
    <w:multiLevelType w:val="hybridMultilevel"/>
    <w:tmpl w:val="BCB2A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7C01"/>
    <w:multiLevelType w:val="hybridMultilevel"/>
    <w:tmpl w:val="23303A7A"/>
    <w:lvl w:ilvl="0" w:tplc="079C6928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7D75"/>
    <w:multiLevelType w:val="hybridMultilevel"/>
    <w:tmpl w:val="A16AC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5668"/>
    <w:multiLevelType w:val="hybridMultilevel"/>
    <w:tmpl w:val="9ABC9F82"/>
    <w:lvl w:ilvl="0" w:tplc="079C6928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77EE8"/>
    <w:multiLevelType w:val="hybridMultilevel"/>
    <w:tmpl w:val="C9D8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8C"/>
    <w:rsid w:val="00005BA1"/>
    <w:rsid w:val="000257F8"/>
    <w:rsid w:val="000661BE"/>
    <w:rsid w:val="000C6790"/>
    <w:rsid w:val="000E7079"/>
    <w:rsid w:val="001C7DE4"/>
    <w:rsid w:val="001F14A1"/>
    <w:rsid w:val="00200338"/>
    <w:rsid w:val="002018DC"/>
    <w:rsid w:val="002B0757"/>
    <w:rsid w:val="00311B35"/>
    <w:rsid w:val="00326507"/>
    <w:rsid w:val="00350419"/>
    <w:rsid w:val="003B5AE1"/>
    <w:rsid w:val="004246D7"/>
    <w:rsid w:val="004A6CEA"/>
    <w:rsid w:val="005B611F"/>
    <w:rsid w:val="006012B6"/>
    <w:rsid w:val="00611EDB"/>
    <w:rsid w:val="006803B8"/>
    <w:rsid w:val="00682EF8"/>
    <w:rsid w:val="006C4AB3"/>
    <w:rsid w:val="007A5386"/>
    <w:rsid w:val="00815620"/>
    <w:rsid w:val="00837CD7"/>
    <w:rsid w:val="0084178E"/>
    <w:rsid w:val="008720CF"/>
    <w:rsid w:val="008724F8"/>
    <w:rsid w:val="00881E16"/>
    <w:rsid w:val="008934F1"/>
    <w:rsid w:val="008A2851"/>
    <w:rsid w:val="008C22CC"/>
    <w:rsid w:val="008D5D73"/>
    <w:rsid w:val="008D6CF3"/>
    <w:rsid w:val="00940E55"/>
    <w:rsid w:val="0094214D"/>
    <w:rsid w:val="00981448"/>
    <w:rsid w:val="009C2280"/>
    <w:rsid w:val="009D4F54"/>
    <w:rsid w:val="00A02058"/>
    <w:rsid w:val="00AB6E8C"/>
    <w:rsid w:val="00B51A13"/>
    <w:rsid w:val="00B96D6B"/>
    <w:rsid w:val="00BE326C"/>
    <w:rsid w:val="00BF1921"/>
    <w:rsid w:val="00C62DB0"/>
    <w:rsid w:val="00C911C7"/>
    <w:rsid w:val="00CA33AD"/>
    <w:rsid w:val="00CC6273"/>
    <w:rsid w:val="00D1376E"/>
    <w:rsid w:val="00D2345F"/>
    <w:rsid w:val="00DF3512"/>
    <w:rsid w:val="00E278BF"/>
    <w:rsid w:val="00E77BF0"/>
    <w:rsid w:val="00EB6AF2"/>
    <w:rsid w:val="00F10114"/>
    <w:rsid w:val="00F93DFF"/>
    <w:rsid w:val="00FB2AFD"/>
    <w:rsid w:val="00FE33F6"/>
    <w:rsid w:val="00FE7EEB"/>
    <w:rsid w:val="581E8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D5866"/>
  <w15:chartTrackingRefBased/>
  <w15:docId w15:val="{119CDBDF-4B56-4C9A-BE20-E32E41D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8C"/>
    <w:rPr>
      <w:rFonts w:ascii="Calibri" w:eastAsia="Calibri" w:hAnsi="Calibri" w:cs="Calibri"/>
      <w:kern w:val="0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6E8C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B6E8C"/>
    <w:rPr>
      <w:rFonts w:ascii="DilleniaUPC" w:eastAsia="Cordia New" w:hAnsi="DilleniaUPC" w:cs="DilleniaUPC"/>
      <w:b/>
      <w:bCs/>
      <w:kern w:val="0"/>
      <w:sz w:val="32"/>
      <w:szCs w:val="32"/>
      <w:lang w:eastAsia="zh-CN"/>
      <w14:ligatures w14:val="none"/>
    </w:rPr>
  </w:style>
  <w:style w:type="table" w:styleId="TableGrid">
    <w:name w:val="Table Grid"/>
    <w:basedOn w:val="TableNormal"/>
    <w:uiPriority w:val="39"/>
    <w:rsid w:val="00AB6E8C"/>
    <w:pPr>
      <w:spacing w:after="0" w:line="240" w:lineRule="auto"/>
    </w:pPr>
    <w:rPr>
      <w:rFonts w:ascii="Calibri" w:eastAsia="Calibri" w:hAnsi="Calibri" w:cs="Calibri"/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6E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6D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246D7"/>
    <w:rPr>
      <w:rFonts w:ascii="Calibri" w:eastAsia="Calibri" w:hAnsi="Calibri" w:cs="Angsana New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6D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246D7"/>
    <w:rPr>
      <w:rFonts w:ascii="Calibri" w:eastAsia="Calibri" w:hAnsi="Calibri" w:cs="Angsana New"/>
      <w:kern w:val="0"/>
      <w:lang w:eastAsia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2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8DC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65C4BE8EBFCCE4C8A7CDFBEF78BDD74" ma:contentTypeVersion="11" ma:contentTypeDescription="สร้างเอกสารใหม่" ma:contentTypeScope="" ma:versionID="d253116c7f69fbff2bde855994676fa0">
  <xsd:schema xmlns:xsd="http://www.w3.org/2001/XMLSchema" xmlns:xs="http://www.w3.org/2001/XMLSchema" xmlns:p="http://schemas.microsoft.com/office/2006/metadata/properties" xmlns:ns3="fb007f92-a709-44b0-8967-3263a76e8364" targetNamespace="http://schemas.microsoft.com/office/2006/metadata/properties" ma:root="true" ma:fieldsID="0e97a9ba94136044cee8f5177cc6e963" ns3:_="">
    <xsd:import namespace="fb007f92-a709-44b0-8967-3263a76e8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7f92-a709-44b0-8967-3263a76e8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007f92-a709-44b0-8967-3263a76e8364" xsi:nil="true"/>
  </documentManagement>
</p:properties>
</file>

<file path=customXml/itemProps1.xml><?xml version="1.0" encoding="utf-8"?>
<ds:datastoreItem xmlns:ds="http://schemas.openxmlformats.org/officeDocument/2006/customXml" ds:itemID="{7FA78BAE-EBF0-431A-B94A-C5A8EDFE7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7f92-a709-44b0-8967-3263a76e8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D2564-1B7E-4147-A53F-D8D1F62C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D538-41B2-451F-85B8-9E6DD6DD9627}">
  <ds:schemaRefs>
    <ds:schemaRef ds:uri="http://schemas.microsoft.com/office/2006/metadata/properties"/>
    <ds:schemaRef ds:uri="http://schemas.microsoft.com/office/infopath/2007/PartnerControls"/>
    <ds:schemaRef ds:uri="fb007f92-a709-44b0-8967-3263a76e8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Kritamorn Jitrangsri</dc:creator>
  <cp:keywords/>
  <dc:description/>
  <cp:lastModifiedBy>Peeradon Sriwichit</cp:lastModifiedBy>
  <cp:revision>23</cp:revision>
  <cp:lastPrinted>2025-06-24T04:16:00Z</cp:lastPrinted>
  <dcterms:created xsi:type="dcterms:W3CDTF">2025-06-27T06:15:00Z</dcterms:created>
  <dcterms:modified xsi:type="dcterms:W3CDTF">2025-10-27T09:13:00Z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0x010100865C4BE8EBFCCE4C8A7CDFBEF78BDD74</vt:lpwstr>
  </property>
</Properties>
</file>